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400" w:rsidRDefault="00D13400" w:rsidP="00D13400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D93D24" w:rsidRDefault="009E06FB" w:rsidP="00124687">
      <w:pPr>
        <w:pStyle w:val="Nadpis1"/>
        <w:rPr>
          <w:u w:val="single"/>
        </w:rPr>
      </w:pPr>
      <w:r>
        <w:t>100</w:t>
      </w:r>
      <w:r w:rsidR="00D93D24">
        <w:t>/</w:t>
      </w:r>
      <w:r w:rsidR="00124687">
        <w:t>0</w:t>
      </w:r>
      <w:r w:rsidR="00430EC5">
        <w:t>9</w:t>
      </w:r>
      <w:r w:rsidR="00D93D24">
        <w:t xml:space="preserve"> finanční odbor</w:t>
      </w:r>
      <w:r w:rsidR="0075777C">
        <w:t xml:space="preserve"> </w:t>
      </w: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pStyle w:val="Zkladntext"/>
        <w:jc w:val="center"/>
        <w:rPr>
          <w:sz w:val="28"/>
          <w:u w:val="single"/>
        </w:rPr>
      </w:pPr>
    </w:p>
    <w:p w:rsidR="00D53445" w:rsidRDefault="00D53445">
      <w:pPr>
        <w:pStyle w:val="Zkladntext"/>
        <w:jc w:val="center"/>
        <w:rPr>
          <w:sz w:val="28"/>
          <w:u w:val="single"/>
        </w:rPr>
      </w:pPr>
    </w:p>
    <w:p w:rsidR="00D53445" w:rsidRDefault="00D53445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24687" w:rsidRDefault="00124687" w:rsidP="00124687">
      <w:pPr>
        <w:jc w:val="center"/>
      </w:pPr>
      <w:r>
        <w:t>finanční odbor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C01FA" w:rsidRDefault="001C01FA" w:rsidP="001C01FA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hanging="720"/>
      </w:pPr>
      <w:r>
        <w:t xml:space="preserve">PO – navýšení limitů prostředků na platy – MěKS, </w:t>
      </w:r>
      <w:proofErr w:type="spellStart"/>
      <w:r>
        <w:t>MěÚSS</w:t>
      </w:r>
      <w:proofErr w:type="spellEnd"/>
    </w:p>
    <w:p w:rsidR="00D93D24" w:rsidRPr="00EC6A0B" w:rsidRDefault="00124687" w:rsidP="00E132B1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hanging="720"/>
        <w:rPr>
          <w:u w:val="single"/>
        </w:rPr>
      </w:pPr>
      <w:r w:rsidRPr="00E07A32">
        <w:t>Rozpočtov</w:t>
      </w:r>
      <w:r w:rsidR="00B009B6">
        <w:t>á</w:t>
      </w:r>
      <w:r w:rsidRPr="00E07A32">
        <w:t xml:space="preserve"> opatření  č. </w:t>
      </w:r>
      <w:r w:rsidR="00430EC5">
        <w:t xml:space="preserve">36 - </w:t>
      </w:r>
      <w:r w:rsidR="009E06FB">
        <w:t>4</w:t>
      </w:r>
      <w:r w:rsidR="003B2651">
        <w:t>1</w:t>
      </w:r>
      <w:r w:rsidR="00430EC5">
        <w:t xml:space="preserve"> </w:t>
      </w:r>
    </w:p>
    <w:p w:rsidR="009E06FB" w:rsidRPr="00134117" w:rsidRDefault="005C31DE" w:rsidP="00994248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hanging="720"/>
      </w:pPr>
      <w:r>
        <w:t>PO – pou</w:t>
      </w:r>
      <w:r w:rsidR="009E06FB">
        <w:t xml:space="preserve">žití IF – MěKS, </w:t>
      </w:r>
      <w:proofErr w:type="spellStart"/>
      <w:r w:rsidR="009E06FB">
        <w:t>MěÚSS</w:t>
      </w:r>
      <w:proofErr w:type="spellEnd"/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430EC5">
        <w:t>25</w:t>
      </w:r>
      <w:r w:rsidR="00B526D2">
        <w:t>.</w:t>
      </w:r>
      <w:r>
        <w:t xml:space="preserve"> </w:t>
      </w:r>
      <w:r w:rsidR="00134117">
        <w:t>dubn</w:t>
      </w:r>
      <w:r w:rsidR="00C44C15">
        <w:t>a</w:t>
      </w:r>
      <w:r>
        <w:t xml:space="preserve"> 201</w:t>
      </w:r>
      <w:r w:rsidR="00124687">
        <w:t>8</w:t>
      </w: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C44C15" w:rsidRDefault="00C44C15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430EC5" w:rsidRDefault="00D93D24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</w:t>
      </w:r>
    </w:p>
    <w:p w:rsidR="00D93D24" w:rsidRDefault="00D93D24" w:rsidP="00430EC5">
      <w:pPr>
        <w:widowControl w:val="0"/>
        <w:autoSpaceDE w:val="0"/>
        <w:autoSpaceDN w:val="0"/>
        <w:adjustRightInd w:val="0"/>
        <w:ind w:left="708" w:firstLine="708"/>
        <w:jc w:val="both"/>
      </w:pPr>
      <w:r>
        <w:t>vedoucí finančního odboru</w:t>
      </w:r>
    </w:p>
    <w:p w:rsidR="00EC6A0B" w:rsidRDefault="00EC6A0B">
      <w:pPr>
        <w:widowControl w:val="0"/>
        <w:autoSpaceDE w:val="0"/>
        <w:autoSpaceDN w:val="0"/>
        <w:adjustRightInd w:val="0"/>
        <w:jc w:val="both"/>
      </w:pPr>
      <w:r>
        <w:tab/>
      </w:r>
    </w:p>
    <w:p w:rsidR="001C01FA" w:rsidRDefault="001C01FA" w:rsidP="001C01FA">
      <w:pPr>
        <w:pStyle w:val="Nadpis2"/>
      </w:pPr>
      <w:r>
        <w:lastRenderedPageBreak/>
        <w:t xml:space="preserve">1) Příspěvkové organizace města - zvýšení limitu prostředků na platy na rok 2018 – MěKS, </w:t>
      </w:r>
      <w:proofErr w:type="spellStart"/>
      <w:r>
        <w:t>MěÚSS</w:t>
      </w:r>
      <w:proofErr w:type="spellEnd"/>
    </w:p>
    <w:p w:rsidR="001C01FA" w:rsidRDefault="001C01FA" w:rsidP="001C01FA"/>
    <w:p w:rsidR="001C01FA" w:rsidRDefault="001C01FA" w:rsidP="001C01FA">
      <w:pPr>
        <w:rPr>
          <w:i/>
          <w:iCs/>
        </w:rPr>
      </w:pPr>
      <w:r>
        <w:rPr>
          <w:i/>
          <w:iCs/>
        </w:rPr>
        <w:t>Finanční odbor (Ing. E. Jankovcová) doporučuje RM přijmout níže uvedené usnesení:</w:t>
      </w:r>
    </w:p>
    <w:p w:rsidR="001C01FA" w:rsidRDefault="001C01FA" w:rsidP="001C01FA"/>
    <w:p w:rsidR="001C01FA" w:rsidRDefault="001C01FA" w:rsidP="001C01FA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1C01FA" w:rsidRDefault="001C01FA" w:rsidP="001C01FA">
      <w:pPr>
        <w:pStyle w:val="Zhlav"/>
        <w:tabs>
          <w:tab w:val="clear" w:pos="4536"/>
          <w:tab w:val="clear" w:pos="9072"/>
        </w:tabs>
      </w:pPr>
      <w:r>
        <w:t>RM po projednání</w:t>
      </w:r>
    </w:p>
    <w:p w:rsidR="001C01FA" w:rsidRDefault="001C01FA" w:rsidP="001C01FA">
      <w:pPr>
        <w:pStyle w:val="Zhlav"/>
        <w:tabs>
          <w:tab w:val="clear" w:pos="4536"/>
          <w:tab w:val="clear" w:pos="9072"/>
        </w:tabs>
      </w:pPr>
    </w:p>
    <w:p w:rsidR="001C01FA" w:rsidRDefault="001C01FA" w:rsidP="001C01FA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Souhlasí</w:t>
      </w:r>
    </w:p>
    <w:p w:rsidR="001C01FA" w:rsidRDefault="001C01FA" w:rsidP="001C01FA">
      <w:pPr>
        <w:pStyle w:val="Zhlav"/>
        <w:numPr>
          <w:ilvl w:val="0"/>
          <w:numId w:val="9"/>
        </w:numPr>
        <w:tabs>
          <w:tab w:val="clear" w:pos="4536"/>
          <w:tab w:val="clear" w:pos="9072"/>
        </w:tabs>
        <w:ind w:left="708"/>
        <w:jc w:val="both"/>
      </w:pPr>
      <w:r>
        <w:t xml:space="preserve">s navýšením limitu prostředků na platy příspěvkové </w:t>
      </w:r>
      <w:r w:rsidRPr="00DE2869">
        <w:t>organizac</w:t>
      </w:r>
      <w:r>
        <w:t>e</w:t>
      </w:r>
      <w:r w:rsidRPr="00DE2869">
        <w:t xml:space="preserve"> </w:t>
      </w:r>
      <w:r w:rsidRPr="00C65EC9">
        <w:rPr>
          <w:b/>
        </w:rPr>
        <w:t>Městské kulturní středisko Strakonice o částku 650 tis. Kč</w:t>
      </w:r>
      <w:r w:rsidRPr="00DE2869">
        <w:t xml:space="preserve"> na celkovou výši </w:t>
      </w:r>
      <w:r>
        <w:t>8</w:t>
      </w:r>
      <w:r w:rsidRPr="00DE2869">
        <w:t>.</w:t>
      </w:r>
      <w:r>
        <w:t>640</w:t>
      </w:r>
      <w:r w:rsidRPr="00DE2869">
        <w:t xml:space="preserve"> tis. Kč na rok 201</w:t>
      </w:r>
      <w:r>
        <w:t>8 (částka 250 tis. Kč bude kryta navýšením příspěvku na provoz - viz RO č. 40, částka 400 tis. Kč použitím rezervního fondu organizace). K navýšení limitu dochází zejména z důvodu zajištění náročných kulturních programů pořádaných organizací v roce 2018, které budou probíhat většinou během víkendů, bude tedy nutné proplácet přesčasové hodiny včetně příplatků</w:t>
      </w:r>
    </w:p>
    <w:p w:rsidR="001C01FA" w:rsidRPr="00DE2869" w:rsidRDefault="001C01FA" w:rsidP="001C01FA">
      <w:pPr>
        <w:pStyle w:val="Zhlav"/>
        <w:tabs>
          <w:tab w:val="clear" w:pos="4536"/>
          <w:tab w:val="clear" w:pos="9072"/>
        </w:tabs>
        <w:ind w:left="708"/>
        <w:jc w:val="both"/>
      </w:pPr>
    </w:p>
    <w:p w:rsidR="001C01FA" w:rsidRDefault="001C01FA" w:rsidP="001C01FA">
      <w:pPr>
        <w:pStyle w:val="Zhlav"/>
        <w:numPr>
          <w:ilvl w:val="0"/>
          <w:numId w:val="9"/>
        </w:numPr>
        <w:tabs>
          <w:tab w:val="clear" w:pos="4536"/>
          <w:tab w:val="clear" w:pos="9072"/>
        </w:tabs>
        <w:jc w:val="both"/>
      </w:pPr>
      <w:r w:rsidRPr="003B2651">
        <w:t xml:space="preserve">s navýšením limitu prostředků na platy příspěvkové organizace </w:t>
      </w:r>
      <w:r w:rsidRPr="00DE30AD">
        <w:rPr>
          <w:b/>
        </w:rPr>
        <w:t>Městský ústav sociálních služeb Strakonice o částku 3.100 tis. Kč</w:t>
      </w:r>
      <w:r w:rsidRPr="003B2651">
        <w:t xml:space="preserve"> na celkovou výši 52.000 tis. Kč na rok 2018. Důvodem tohoto navýšení je nov</w:t>
      </w:r>
      <w:r>
        <w:t xml:space="preserve">é zařazení některých zaměstnanců organizace v souladu s </w:t>
      </w:r>
      <w:r w:rsidRPr="003B2651">
        <w:t>nařízení</w:t>
      </w:r>
      <w:r>
        <w:t>m</w:t>
      </w:r>
      <w:r w:rsidRPr="003B2651">
        <w:t xml:space="preserve"> vlády č. 399/2017 Sb., kterým se mění nařízení vlády č. 222/2010 Sb. o katalogu prací ve veřejných službách a správě. </w:t>
      </w:r>
    </w:p>
    <w:p w:rsidR="001C01FA" w:rsidRDefault="001C01FA" w:rsidP="001C01FA">
      <w:pPr>
        <w:pStyle w:val="Odstavecseseznamem"/>
      </w:pPr>
    </w:p>
    <w:p w:rsidR="001C01FA" w:rsidRDefault="001C01FA" w:rsidP="001C01FA">
      <w:pPr>
        <w:pStyle w:val="Zhlav"/>
        <w:tabs>
          <w:tab w:val="clear" w:pos="4536"/>
          <w:tab w:val="clear" w:pos="9072"/>
        </w:tabs>
        <w:jc w:val="both"/>
      </w:pPr>
    </w:p>
    <w:p w:rsidR="001C01FA" w:rsidRDefault="001C01FA">
      <w:pPr>
        <w:widowControl w:val="0"/>
        <w:autoSpaceDE w:val="0"/>
        <w:autoSpaceDN w:val="0"/>
        <w:adjustRightInd w:val="0"/>
        <w:jc w:val="both"/>
      </w:pPr>
    </w:p>
    <w:p w:rsidR="00D93D24" w:rsidRDefault="00EE5BF9" w:rsidP="00EF0929">
      <w:pPr>
        <w:pStyle w:val="Nadpis2"/>
      </w:pPr>
      <w:r>
        <w:t>2</w:t>
      </w:r>
      <w:r w:rsidR="003F19A8" w:rsidRPr="003F19A8">
        <w:t xml:space="preserve">)  </w:t>
      </w:r>
      <w:r w:rsidR="00D93D24" w:rsidRPr="003F19A8">
        <w:t>Rozpočtov</w:t>
      </w:r>
      <w:r w:rsidR="001C01FA">
        <w:t>á</w:t>
      </w:r>
      <w:r w:rsidR="00D93D24" w:rsidRPr="003F19A8">
        <w:t xml:space="preserve"> opatření č. </w:t>
      </w:r>
      <w:r w:rsidR="00430EC5">
        <w:t>3</w:t>
      </w:r>
      <w:r w:rsidR="009E06FB">
        <w:t>6 - 4</w:t>
      </w:r>
      <w:r w:rsidR="003B2651">
        <w:t>1</w:t>
      </w:r>
    </w:p>
    <w:p w:rsidR="005C069A" w:rsidRPr="005C069A" w:rsidRDefault="005C069A" w:rsidP="005C069A"/>
    <w:p w:rsidR="00D93D24" w:rsidRDefault="00D93D24">
      <w:pPr>
        <w:rPr>
          <w:i/>
          <w:iCs/>
        </w:rPr>
      </w:pPr>
      <w:r>
        <w:rPr>
          <w:i/>
          <w:iCs/>
        </w:rPr>
        <w:t>Finanční odbor (Ing. Jankovcová) doporučuje RM přijmout níže uvedené usnesení:</w:t>
      </w:r>
    </w:p>
    <w:p w:rsidR="00D93D24" w:rsidRDefault="00D93D24"/>
    <w:p w:rsidR="00D93D24" w:rsidRDefault="00D93D24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D93D24" w:rsidRDefault="00D93D24">
      <w:r>
        <w:t>RM po projednání</w:t>
      </w:r>
    </w:p>
    <w:p w:rsidR="00D92952" w:rsidRDefault="00D92952" w:rsidP="00D92952"/>
    <w:p w:rsidR="00D92952" w:rsidRDefault="00D92952" w:rsidP="00D92952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D65B2B" w:rsidRDefault="00D65B2B" w:rsidP="00D65B2B">
      <w:pPr>
        <w:pStyle w:val="Zkladntext2"/>
      </w:pPr>
      <w:r>
        <w:t>RO  č. 36  ve výši  48.400 Kč</w:t>
      </w:r>
    </w:p>
    <w:p w:rsidR="00D65B2B" w:rsidRDefault="00D65B2B" w:rsidP="00D65B2B">
      <w:pPr>
        <w:jc w:val="both"/>
      </w:pPr>
      <w:r>
        <w:t>Navýšení rozpočtu odboru životního prostředí na zpracování žádosti o dotaci z OPŽP včetně projektové dokumentace na projekt „Digitální povodňový a varovný informační systém“.  Povodňový</w:t>
      </w:r>
      <w:r w:rsidR="00E472B7">
        <w:t xml:space="preserve"> </w:t>
      </w:r>
      <w:r>
        <w:t>digitální plán</w:t>
      </w:r>
      <w:r w:rsidR="00E472B7">
        <w:t xml:space="preserve"> </w:t>
      </w:r>
      <w:r>
        <w:t>je důležitým dokumentem pro přípravu a realizaci protipovodňových opatření a v případě povodní na řešení vzniklé krizové situace.</w:t>
      </w:r>
      <w:r w:rsidR="00E472B7">
        <w:t xml:space="preserve"> </w:t>
      </w:r>
      <w:r>
        <w:t>Rozpočtové opatření bude kryto použitím prostředků minulých let.</w:t>
      </w:r>
    </w:p>
    <w:p w:rsidR="00E472B7" w:rsidRDefault="00E472B7" w:rsidP="00E472B7">
      <w:pPr>
        <w:widowControl w:val="0"/>
        <w:autoSpaceDE w:val="0"/>
        <w:autoSpaceDN w:val="0"/>
        <w:adjustRightInd w:val="0"/>
        <w:jc w:val="both"/>
      </w:pPr>
      <w:r>
        <w:t>Rozpočtová skladba -</w:t>
      </w:r>
      <w:r>
        <w:tab/>
        <w:t>výdaje</w:t>
      </w:r>
      <w:r>
        <w:tab/>
      </w:r>
      <w:r>
        <w:tab/>
        <w:t xml:space="preserve">          406 – 3744 – </w:t>
      </w:r>
      <w:proofErr w:type="spellStart"/>
      <w:r>
        <w:t>xxxx</w:t>
      </w:r>
      <w:proofErr w:type="spellEnd"/>
    </w:p>
    <w:p w:rsidR="00E472B7" w:rsidRDefault="00E472B7" w:rsidP="00E472B7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  <w:t xml:space="preserve">financování    </w:t>
      </w:r>
      <w:r>
        <w:tab/>
      </w:r>
      <w:r>
        <w:tab/>
        <w:t xml:space="preserve">                    8115</w:t>
      </w:r>
    </w:p>
    <w:p w:rsidR="00D65B2B" w:rsidRPr="00D65B2B" w:rsidRDefault="00D65B2B" w:rsidP="00D65B2B">
      <w:pPr>
        <w:rPr>
          <w:rFonts w:eastAsia="MS Mincho"/>
        </w:rPr>
      </w:pPr>
    </w:p>
    <w:p w:rsidR="00430EC5" w:rsidRDefault="00430EC5" w:rsidP="00430EC5">
      <w:pPr>
        <w:pStyle w:val="Zkladntext2"/>
      </w:pPr>
      <w:r>
        <w:t>RO  č. 3</w:t>
      </w:r>
      <w:r w:rsidR="00D65B2B">
        <w:t xml:space="preserve">7  </w:t>
      </w:r>
      <w:r>
        <w:t>ve výši  914.110,80 Kč</w:t>
      </w:r>
    </w:p>
    <w:p w:rsidR="00430EC5" w:rsidRDefault="00430EC5" w:rsidP="00430EC5">
      <w:pPr>
        <w:widowControl w:val="0"/>
        <w:autoSpaceDE w:val="0"/>
        <w:autoSpaceDN w:val="0"/>
        <w:adjustRightInd w:val="0"/>
        <w:jc w:val="both"/>
      </w:pPr>
      <w:r>
        <w:t>Průtoková neinvestiční účelová dotace z MŠMT (zálohová platba) pro příspěvkovou organizaci Základní škola Strakonice, Dukelská 166</w:t>
      </w:r>
      <w:r w:rsidR="00094215">
        <w:t>,</w:t>
      </w:r>
      <w:r>
        <w:t xml:space="preserve"> na realizaci projektu v rámci Operačního programu Výzkum, vývoj a vzdělávání (OP VVV). Podíl SR – 15 %, podíl ESF 85 %.</w:t>
      </w:r>
    </w:p>
    <w:p w:rsidR="00430EC5" w:rsidRDefault="00430EC5" w:rsidP="00430EC5">
      <w:r>
        <w:t>Rozpočtová skladba -</w:t>
      </w:r>
      <w:r>
        <w:tab/>
        <w:t>příjmy</w:t>
      </w:r>
      <w:r>
        <w:tab/>
        <w:t xml:space="preserve">          13</w:t>
      </w:r>
      <w:r w:rsidR="00094215">
        <w:t>21</w:t>
      </w:r>
      <w:r>
        <w:t xml:space="preserve"> – 0000 – 4116 – ÚZ 33 063, Nástroj 103, Zdroj 1 a 5</w:t>
      </w:r>
    </w:p>
    <w:p w:rsidR="00430EC5" w:rsidRDefault="00430EC5" w:rsidP="00430EC5">
      <w:r>
        <w:tab/>
      </w:r>
      <w:r>
        <w:tab/>
      </w:r>
      <w:r>
        <w:tab/>
        <w:t>výdaje</w:t>
      </w:r>
      <w:r>
        <w:tab/>
        <w:t xml:space="preserve">          13</w:t>
      </w:r>
      <w:r w:rsidR="00094215">
        <w:t>21</w:t>
      </w:r>
      <w:r>
        <w:t xml:space="preserve"> – 311</w:t>
      </w:r>
      <w:r w:rsidR="00094215">
        <w:t>3</w:t>
      </w:r>
      <w:r>
        <w:t xml:space="preserve"> – 5336 – ÚZ 33 063, Nástroj 103, Zdroj 1 a 5</w:t>
      </w:r>
    </w:p>
    <w:p w:rsidR="00E10F14" w:rsidRDefault="00E10F14" w:rsidP="00430EC5"/>
    <w:p w:rsidR="00430EC5" w:rsidRPr="00430EC5" w:rsidRDefault="00430EC5" w:rsidP="00430EC5">
      <w:pPr>
        <w:rPr>
          <w:rFonts w:eastAsia="MS Mincho"/>
        </w:rPr>
      </w:pPr>
    </w:p>
    <w:p w:rsidR="00223606" w:rsidRDefault="00223606" w:rsidP="00223606">
      <w:pPr>
        <w:pStyle w:val="Zkladntext2"/>
      </w:pPr>
      <w:r>
        <w:lastRenderedPageBreak/>
        <w:t>RO  č. 3</w:t>
      </w:r>
      <w:r w:rsidR="00D65B2B">
        <w:t>8</w:t>
      </w:r>
      <w:r>
        <w:t xml:space="preserve">  ve výši  156.728,80 Kč</w:t>
      </w:r>
    </w:p>
    <w:p w:rsidR="00223606" w:rsidRDefault="00223606" w:rsidP="00223606">
      <w:pPr>
        <w:widowControl w:val="0"/>
        <w:autoSpaceDE w:val="0"/>
        <w:autoSpaceDN w:val="0"/>
        <w:adjustRightInd w:val="0"/>
        <w:jc w:val="both"/>
      </w:pPr>
      <w:r>
        <w:t>Průtoková neinvestiční účelová dotace z MŠMT (zálohová platba) pro příspěvkovou organizaci Mateřská škola Čtyřlístek, Strakonice, na realizaci projektu v rámci Operačního programu Výzkum, vývoj a vzdělávání (OP VVV). Podíl SR – 15 %, podíl ESF 85 %.</w:t>
      </w:r>
    </w:p>
    <w:p w:rsidR="00223606" w:rsidRDefault="00223606" w:rsidP="00223606">
      <w:r>
        <w:t>Rozpočtová skladba -</w:t>
      </w:r>
      <w:r>
        <w:tab/>
        <w:t>příjmy</w:t>
      </w:r>
      <w:r>
        <w:tab/>
        <w:t xml:space="preserve">          1303 – 0000 – 4116 – ÚZ 33 063, Nástroj 103, Zdroj 1 a 5</w:t>
      </w:r>
    </w:p>
    <w:p w:rsidR="00223606" w:rsidRDefault="00223606" w:rsidP="00223606">
      <w:r>
        <w:tab/>
      </w:r>
      <w:r>
        <w:tab/>
      </w:r>
      <w:r>
        <w:tab/>
        <w:t>výdaje</w:t>
      </w:r>
      <w:r>
        <w:tab/>
        <w:t xml:space="preserve">          1303 – 3111 – 5336 – ÚZ 33 063, Nástroj 103, Zdroj 1 a 5</w:t>
      </w:r>
    </w:p>
    <w:p w:rsidR="00223606" w:rsidRDefault="00223606" w:rsidP="00223606"/>
    <w:p w:rsidR="008030F0" w:rsidRDefault="008030F0" w:rsidP="008030F0">
      <w:pPr>
        <w:pStyle w:val="Zkladntext2"/>
      </w:pPr>
      <w:r>
        <w:t xml:space="preserve">RO  č. </w:t>
      </w:r>
      <w:r w:rsidR="00223606">
        <w:t>3</w:t>
      </w:r>
      <w:r w:rsidR="00D65B2B">
        <w:t>9</w:t>
      </w:r>
      <w:r w:rsidR="004B3CCE">
        <w:t xml:space="preserve"> </w:t>
      </w:r>
      <w:r>
        <w:t xml:space="preserve"> ve výši  </w:t>
      </w:r>
      <w:r w:rsidR="00223606">
        <w:t>6.673.559,79 Kč</w:t>
      </w:r>
    </w:p>
    <w:p w:rsidR="008B4B96" w:rsidRDefault="00223606" w:rsidP="008B4B96">
      <w:pPr>
        <w:widowControl w:val="0"/>
        <w:autoSpaceDE w:val="0"/>
        <w:autoSpaceDN w:val="0"/>
        <w:adjustRightInd w:val="0"/>
        <w:jc w:val="both"/>
      </w:pPr>
      <w:r w:rsidRPr="008B4B96">
        <w:t xml:space="preserve">Zpětná investiční dotace na projekt „Cyklostezka Strakonice, Nový </w:t>
      </w:r>
      <w:proofErr w:type="spellStart"/>
      <w:r w:rsidRPr="008B4B96">
        <w:t>Dražejov</w:t>
      </w:r>
      <w:proofErr w:type="spellEnd"/>
      <w:r w:rsidRPr="008B4B96">
        <w:t>“</w:t>
      </w:r>
      <w:r w:rsidR="008B4B96" w:rsidRPr="008B4B96">
        <w:t>. Cyklostezka s</w:t>
      </w:r>
      <w:r w:rsidR="008B4B96">
        <w:t> </w:t>
      </w:r>
      <w:r w:rsidR="008B4B96" w:rsidRPr="008B4B96">
        <w:t xml:space="preserve">asfaltovým povrchem o délce 1,6 km propojila Strakonice s Novým </w:t>
      </w:r>
      <w:proofErr w:type="spellStart"/>
      <w:r w:rsidR="008B4B96" w:rsidRPr="008B4B96">
        <w:t>Dražejovem</w:t>
      </w:r>
      <w:proofErr w:type="spellEnd"/>
      <w:r w:rsidR="008B4B96" w:rsidRPr="008B4B96">
        <w:t>. Fyzická realizace projektu byla zahájena v roce 2016</w:t>
      </w:r>
      <w:r w:rsidR="008B4B96">
        <w:t xml:space="preserve"> a dokončena v roce 2017</w:t>
      </w:r>
      <w:r w:rsidR="008B4B96" w:rsidRPr="008B4B96">
        <w:t xml:space="preserve">. Celkem bylo za oba roky </w:t>
      </w:r>
      <w:r w:rsidR="008B4B96">
        <w:t>proinv</w:t>
      </w:r>
      <w:r w:rsidR="008B4B96" w:rsidRPr="008B4B96">
        <w:t>estováno 7</w:t>
      </w:r>
      <w:r w:rsidR="00931922">
        <w:t>.</w:t>
      </w:r>
      <w:r w:rsidR="008B4B96" w:rsidRPr="008B4B96">
        <w:t>887</w:t>
      </w:r>
      <w:r w:rsidR="008B4B96">
        <w:t> </w:t>
      </w:r>
      <w:r w:rsidR="008B4B96" w:rsidRPr="008B4B96">
        <w:t>tis. Kč</w:t>
      </w:r>
      <w:r w:rsidR="008B4B96">
        <w:t xml:space="preserve">. </w:t>
      </w:r>
      <w:r w:rsidR="00931922">
        <w:t xml:space="preserve">Částka 6.302.806,47 Kč představuje podíl ze strukturálních fondů EU, částka 370.753,32 </w:t>
      </w:r>
      <w:r w:rsidR="00166B0F">
        <w:t xml:space="preserve">Kč </w:t>
      </w:r>
      <w:r w:rsidR="00931922">
        <w:t>podíl ze státního rozpočtu. O uve</w:t>
      </w:r>
      <w:r w:rsidR="008B4B96">
        <w:t>denou částku bude sníženo použití prostředků minulých let.</w:t>
      </w:r>
    </w:p>
    <w:p w:rsidR="008B4B96" w:rsidRDefault="008B4B96" w:rsidP="008B4B96">
      <w:pPr>
        <w:widowControl w:val="0"/>
        <w:autoSpaceDE w:val="0"/>
        <w:autoSpaceDN w:val="0"/>
        <w:adjustRightInd w:val="0"/>
        <w:jc w:val="both"/>
      </w:pPr>
      <w:r>
        <w:t>Rozpočtová skladba -</w:t>
      </w:r>
      <w:r>
        <w:tab/>
        <w:t>příjmy</w:t>
      </w:r>
      <w:r>
        <w:tab/>
        <w:t xml:space="preserve">          732 – 0000 – 4216 – ÚZ 17 968, 17 969</w:t>
      </w:r>
    </w:p>
    <w:p w:rsidR="008B4B96" w:rsidRDefault="008B4B96" w:rsidP="008B4B96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  <w:t xml:space="preserve">financování    </w:t>
      </w:r>
      <w:r>
        <w:tab/>
      </w:r>
      <w:r>
        <w:tab/>
        <w:t xml:space="preserve">         8115</w:t>
      </w:r>
    </w:p>
    <w:p w:rsidR="00931922" w:rsidRDefault="00931922" w:rsidP="008B4B96">
      <w:pPr>
        <w:widowControl w:val="0"/>
        <w:autoSpaceDE w:val="0"/>
        <w:autoSpaceDN w:val="0"/>
        <w:adjustRightInd w:val="0"/>
        <w:jc w:val="both"/>
      </w:pPr>
    </w:p>
    <w:p w:rsidR="00931922" w:rsidRDefault="00931922" w:rsidP="00931922">
      <w:pPr>
        <w:pStyle w:val="Zkladntext2"/>
      </w:pPr>
      <w:r>
        <w:t xml:space="preserve">RO  č. </w:t>
      </w:r>
      <w:r w:rsidR="00D65B2B">
        <w:t>40</w:t>
      </w:r>
      <w:r>
        <w:t xml:space="preserve">  ve výši  250.000 Kč</w:t>
      </w:r>
    </w:p>
    <w:p w:rsidR="00702478" w:rsidRDefault="007A2432" w:rsidP="00702478">
      <w:pPr>
        <w:jc w:val="both"/>
      </w:pPr>
      <w:r>
        <w:t>Navýšení nei</w:t>
      </w:r>
      <w:r w:rsidR="00787618">
        <w:t>nvestiční</w:t>
      </w:r>
      <w:r>
        <w:t>ho příspěvku na provoz příspěvkové organizac</w:t>
      </w:r>
      <w:r w:rsidR="00645B1C">
        <w:t>i</w:t>
      </w:r>
      <w:r>
        <w:t xml:space="preserve"> MěKS</w:t>
      </w:r>
      <w:r w:rsidR="00645B1C">
        <w:t xml:space="preserve"> Strakonice</w:t>
      </w:r>
      <w:r w:rsidR="00166B0F">
        <w:t xml:space="preserve">. Finanční prostředky budou použity na </w:t>
      </w:r>
      <w:r>
        <w:t xml:space="preserve">úhradu </w:t>
      </w:r>
      <w:r w:rsidR="001C01FA">
        <w:t>platů zaměstnanců organizace v souladu s navýšením limitu prostředků na platy (viz bod 1).</w:t>
      </w:r>
      <w:r w:rsidR="00166B0F">
        <w:t xml:space="preserve"> Rozpočtové opatření bude kryto</w:t>
      </w:r>
      <w:r w:rsidR="00702478">
        <w:t xml:space="preserve"> </w:t>
      </w:r>
      <w:r w:rsidR="00702478" w:rsidRPr="002967DC">
        <w:t>vratkami příspěvkových organizací města do</w:t>
      </w:r>
      <w:r w:rsidR="00702478">
        <w:t> </w:t>
      </w:r>
      <w:r w:rsidR="00702478" w:rsidRPr="002967DC">
        <w:t>rozpočtu zřizovatele ve výši nedočerpaných účelových prostředků za</w:t>
      </w:r>
      <w:r w:rsidR="00702478">
        <w:t> </w:t>
      </w:r>
      <w:r w:rsidR="00702478" w:rsidRPr="002967DC">
        <w:t>rok</w:t>
      </w:r>
      <w:r w:rsidR="00702478">
        <w:t> </w:t>
      </w:r>
      <w:r w:rsidR="00702478" w:rsidRPr="002967DC">
        <w:t xml:space="preserve"> 201</w:t>
      </w:r>
      <w:r w:rsidR="00702478">
        <w:t>7</w:t>
      </w:r>
      <w:r w:rsidR="00702478" w:rsidRPr="002967DC">
        <w:t xml:space="preserve">.  </w:t>
      </w:r>
    </w:p>
    <w:p w:rsidR="00787618" w:rsidRDefault="00787618" w:rsidP="00787618">
      <w:pPr>
        <w:pStyle w:val="Zkladntext"/>
      </w:pPr>
      <w:r>
        <w:t>(v tis. Kč)</w:t>
      </w:r>
    </w:p>
    <w:tbl>
      <w:tblPr>
        <w:tblW w:w="923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2"/>
        <w:gridCol w:w="160"/>
        <w:gridCol w:w="1471"/>
        <w:gridCol w:w="800"/>
        <w:gridCol w:w="701"/>
        <w:gridCol w:w="731"/>
        <w:gridCol w:w="993"/>
        <w:gridCol w:w="1010"/>
      </w:tblGrid>
      <w:tr w:rsidR="00787618" w:rsidTr="00645B1C">
        <w:trPr>
          <w:trHeight w:val="495"/>
        </w:trPr>
        <w:tc>
          <w:tcPr>
            <w:tcW w:w="353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7618" w:rsidRDefault="00787618" w:rsidP="007F5CC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47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7618" w:rsidRDefault="00787618" w:rsidP="007F5CC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7618" w:rsidRDefault="00787618" w:rsidP="007F5CC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upr.rozp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7618" w:rsidRDefault="00787618" w:rsidP="007F5CC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7618" w:rsidRDefault="00787618" w:rsidP="007F5CC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7618" w:rsidRDefault="00787618" w:rsidP="007F5CC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</w:t>
            </w:r>
            <w:r w:rsidR="00645B1C">
              <w:rPr>
                <w:rFonts w:ascii="Arial" w:hAnsi="Arial"/>
                <w:b/>
                <w:bCs/>
                <w:sz w:val="18"/>
                <w:szCs w:val="18"/>
              </w:rPr>
              <w:t>1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7.</w:t>
            </w:r>
            <w:r w:rsidR="00645B1C">
              <w:rPr>
                <w:rFonts w:ascii="Arial" w:hAnsi="Arial"/>
                <w:b/>
                <w:bCs/>
                <w:sz w:val="18"/>
                <w:szCs w:val="18"/>
              </w:rPr>
              <w:t>04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7618" w:rsidRDefault="00787618" w:rsidP="007F5CC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787618" w:rsidTr="00645B1C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702478" w:rsidP="00702478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MěKS</w:t>
            </w:r>
            <w:r w:rsidR="00787618">
              <w:rPr>
                <w:rFonts w:ascii="Arial" w:hAnsi="Arial"/>
                <w:sz w:val="18"/>
                <w:szCs w:val="18"/>
              </w:rPr>
              <w:t xml:space="preserve"> Strakonice </w:t>
            </w:r>
            <w:r w:rsidR="00645B1C">
              <w:rPr>
                <w:rFonts w:ascii="Arial" w:hAnsi="Arial"/>
                <w:sz w:val="18"/>
                <w:szCs w:val="18"/>
              </w:rPr>
              <w:t>–</w:t>
            </w:r>
            <w:r w:rsidR="00787618">
              <w:rPr>
                <w:rFonts w:ascii="Arial" w:hAnsi="Arial"/>
                <w:sz w:val="18"/>
                <w:szCs w:val="18"/>
              </w:rPr>
              <w:t xml:space="preserve"> provoz</w:t>
            </w:r>
            <w:r w:rsidR="00645B1C">
              <w:rPr>
                <w:rFonts w:ascii="Arial" w:hAnsi="Arial"/>
                <w:sz w:val="18"/>
                <w:szCs w:val="18"/>
              </w:rPr>
              <w:t xml:space="preserve"> (mzdové výdaje)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787618" w:rsidP="007F5CC3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787618" w:rsidP="00645B1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</w:t>
            </w:r>
            <w:r w:rsidR="00645B1C">
              <w:rPr>
                <w:rFonts w:ascii="Arial" w:hAnsi="Arial"/>
                <w:sz w:val="18"/>
                <w:szCs w:val="18"/>
              </w:rPr>
              <w:t>6.110,0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645B1C" w:rsidP="007F5CC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250,0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787618" w:rsidP="007F5CC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</w:t>
            </w:r>
            <w:r w:rsidR="00645B1C">
              <w:rPr>
                <w:rFonts w:ascii="Arial" w:hAnsi="Arial"/>
                <w:sz w:val="18"/>
                <w:szCs w:val="18"/>
              </w:rPr>
              <w:t>6.360</w:t>
            </w:r>
            <w:r>
              <w:rPr>
                <w:rFonts w:ascii="Arial" w:hAnsi="Arial"/>
                <w:sz w:val="18"/>
                <w:szCs w:val="18"/>
              </w:rPr>
              <w:t>,</w:t>
            </w:r>
            <w:r w:rsidR="00645B1C"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645B1C" w:rsidP="007F5CC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9.000,0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787618" w:rsidP="007F5CC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</w:t>
            </w:r>
            <w:r w:rsidR="00645B1C">
              <w:rPr>
                <w:rFonts w:ascii="Arial" w:eastAsia="Arial Unicode MS" w:hAnsi="Arial"/>
                <w:sz w:val="18"/>
                <w:szCs w:val="18"/>
              </w:rPr>
              <w:t>6</w:t>
            </w:r>
            <w:r>
              <w:rPr>
                <w:rFonts w:ascii="Arial" w:eastAsia="Arial Unicode MS" w:hAnsi="Arial"/>
                <w:sz w:val="18"/>
                <w:szCs w:val="18"/>
              </w:rPr>
              <w:t>.</w:t>
            </w:r>
            <w:r w:rsidR="00645B1C">
              <w:rPr>
                <w:rFonts w:ascii="Arial" w:eastAsia="Arial Unicode MS" w:hAnsi="Arial"/>
                <w:sz w:val="18"/>
                <w:szCs w:val="18"/>
              </w:rPr>
              <w:t>360</w:t>
            </w:r>
            <w:r>
              <w:rPr>
                <w:rFonts w:ascii="Arial" w:eastAsia="Arial Unicode MS" w:hAnsi="Arial"/>
                <w:sz w:val="18"/>
                <w:szCs w:val="18"/>
              </w:rPr>
              <w:t>,</w:t>
            </w:r>
            <w:r w:rsidR="00645B1C">
              <w:rPr>
                <w:rFonts w:ascii="Arial" w:eastAsia="Arial Unicode MS" w:hAnsi="Arial"/>
                <w:sz w:val="18"/>
                <w:szCs w:val="18"/>
              </w:rPr>
              <w:t>0</w:t>
            </w:r>
          </w:p>
        </w:tc>
      </w:tr>
      <w:tr w:rsidR="00787618" w:rsidTr="00645B1C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787618" w:rsidP="007F5CC3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787618" w:rsidP="007F5CC3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645B1C" w:rsidP="007F5CC3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PO – vratky </w:t>
            </w:r>
            <w:proofErr w:type="gramStart"/>
            <w:r>
              <w:rPr>
                <w:rFonts w:ascii="Arial" w:hAnsi="Arial"/>
                <w:sz w:val="18"/>
                <w:szCs w:val="18"/>
              </w:rPr>
              <w:t>úč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>.</w:t>
            </w:r>
            <w:proofErr w:type="gramStart"/>
            <w:r>
              <w:rPr>
                <w:rFonts w:ascii="Arial" w:hAnsi="Arial"/>
                <w:sz w:val="18"/>
                <w:szCs w:val="18"/>
              </w:rPr>
              <w:t>pr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645B1C" w:rsidP="007F5CC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645B1C" w:rsidP="007F5CC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645B1C" w:rsidP="007F5CC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750</w:t>
            </w:r>
            <w:r w:rsidR="00787618">
              <w:rPr>
                <w:rFonts w:ascii="Arial" w:eastAsia="Arial Unicode MS" w:hAnsi="Arial"/>
                <w:sz w:val="18"/>
                <w:szCs w:val="18"/>
              </w:rPr>
              <w:t>,</w:t>
            </w:r>
            <w:r>
              <w:rPr>
                <w:rFonts w:ascii="Arial" w:eastAsia="Arial Unicode MS" w:hAnsi="Arial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645B1C" w:rsidP="007F5CC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</w:t>
            </w:r>
            <w:r w:rsidR="00787618">
              <w:rPr>
                <w:rFonts w:ascii="Arial" w:eastAsia="Arial Unicode MS" w:hAnsi="Arial"/>
                <w:sz w:val="18"/>
                <w:szCs w:val="18"/>
              </w:rPr>
              <w:t>.</w:t>
            </w:r>
            <w:r>
              <w:rPr>
                <w:rFonts w:ascii="Arial" w:eastAsia="Arial Unicode MS" w:hAnsi="Arial"/>
                <w:sz w:val="18"/>
                <w:szCs w:val="18"/>
              </w:rPr>
              <w:t>01</w:t>
            </w:r>
            <w:r w:rsidR="00787618">
              <w:rPr>
                <w:rFonts w:ascii="Arial" w:eastAsia="Arial Unicode MS" w:hAnsi="Arial"/>
                <w:sz w:val="18"/>
                <w:szCs w:val="18"/>
              </w:rPr>
              <w:t>3,</w:t>
            </w:r>
            <w:r>
              <w:rPr>
                <w:rFonts w:ascii="Arial" w:eastAsia="Arial Unicode MS" w:hAnsi="Arial"/>
                <w:sz w:val="18"/>
                <w:szCs w:val="18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645B1C" w:rsidP="007F5CC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</w:t>
            </w:r>
            <w:r w:rsidR="00787618">
              <w:rPr>
                <w:rFonts w:ascii="Arial" w:eastAsia="Arial Unicode MS" w:hAnsi="Arial"/>
                <w:sz w:val="18"/>
                <w:szCs w:val="18"/>
              </w:rPr>
              <w:t>.</w:t>
            </w:r>
            <w:r>
              <w:rPr>
                <w:rFonts w:ascii="Arial" w:eastAsia="Arial Unicode MS" w:hAnsi="Arial"/>
                <w:sz w:val="18"/>
                <w:szCs w:val="18"/>
              </w:rPr>
              <w:t>013</w:t>
            </w:r>
            <w:r w:rsidR="00787618">
              <w:rPr>
                <w:rFonts w:ascii="Arial" w:eastAsia="Arial Unicode MS" w:hAnsi="Arial"/>
                <w:sz w:val="18"/>
                <w:szCs w:val="18"/>
              </w:rPr>
              <w:t>,</w:t>
            </w:r>
            <w:r>
              <w:rPr>
                <w:rFonts w:ascii="Arial" w:eastAsia="Arial Unicode MS" w:hAnsi="Arial"/>
                <w:sz w:val="18"/>
                <w:szCs w:val="18"/>
              </w:rPr>
              <w:t>9</w:t>
            </w:r>
          </w:p>
        </w:tc>
      </w:tr>
      <w:tr w:rsidR="00787618" w:rsidTr="00645B1C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787618" w:rsidP="007F5CC3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787618" w:rsidP="007F5CC3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787618" w:rsidP="007F5CC3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787618" w:rsidP="007F5CC3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787618" w:rsidP="007F5CC3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787618" w:rsidP="007F5CC3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787618" w:rsidP="007F5CC3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787618" w:rsidP="007F5CC3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787618" w:rsidTr="00645B1C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787618" w:rsidP="007F5CC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787618" w:rsidP="007F5CC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787618" w:rsidP="007F5CC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787618" w:rsidP="007F5CC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787618" w:rsidP="007F5CC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787618" w:rsidP="007F5CC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787618" w:rsidP="007F5CC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787618" w:rsidP="007F5CC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787618" w:rsidTr="00645B1C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787618" w:rsidP="007F5CC3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787618" w:rsidP="007F5CC3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787618" w:rsidP="007F5CC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</w:t>
            </w:r>
            <w:r w:rsidR="00645B1C">
              <w:rPr>
                <w:rFonts w:ascii="Arial" w:hAnsi="Arial"/>
                <w:sz w:val="18"/>
                <w:szCs w:val="18"/>
              </w:rPr>
              <w:t>78</w:t>
            </w:r>
            <w:r>
              <w:rPr>
                <w:rFonts w:ascii="Arial" w:hAnsi="Arial"/>
                <w:sz w:val="18"/>
                <w:szCs w:val="18"/>
              </w:rPr>
              <w:t xml:space="preserve">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645B1C" w:rsidP="007F5CC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3319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787618" w:rsidP="007F5CC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5331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645B1C" w:rsidP="007F5CC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250,0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787618" w:rsidP="007F5CC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787618" w:rsidP="007F5CC3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787618" w:rsidTr="00645B1C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787618" w:rsidP="007F5CC3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Příjmy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787618" w:rsidP="007F5CC3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645B1C" w:rsidP="007F5CC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787618" w:rsidP="007F5CC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</w:t>
            </w:r>
            <w:r w:rsidR="00645B1C">
              <w:rPr>
                <w:rFonts w:ascii="Arial" w:eastAsia="Arial Unicode MS" w:hAnsi="Arial"/>
                <w:sz w:val="18"/>
                <w:szCs w:val="18"/>
              </w:rPr>
              <w:t>xxx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787618" w:rsidP="007F5CC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</w:t>
            </w:r>
            <w:r w:rsidR="00645B1C">
              <w:rPr>
                <w:rFonts w:ascii="Arial" w:hAnsi="Arial"/>
                <w:sz w:val="18"/>
                <w:szCs w:val="18"/>
              </w:rPr>
              <w:t>2</w:t>
            </w:r>
            <w:r>
              <w:rPr>
                <w:rFonts w:ascii="Arial" w:hAnsi="Arial"/>
                <w:sz w:val="18"/>
                <w:szCs w:val="18"/>
              </w:rPr>
              <w:t>2</w:t>
            </w:r>
            <w:r w:rsidR="00645B1C">
              <w:rPr>
                <w:rFonts w:ascii="Arial" w:hAnsi="Arial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645B1C" w:rsidP="007F5CC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250,0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787618" w:rsidP="007F5CC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7618" w:rsidRDefault="00787618" w:rsidP="007F5CC3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9E06FB" w:rsidRDefault="009E06FB" w:rsidP="00645B1C">
      <w:pPr>
        <w:pStyle w:val="Zkladntext2"/>
      </w:pPr>
    </w:p>
    <w:p w:rsidR="00645B1C" w:rsidRDefault="00645B1C" w:rsidP="00645B1C">
      <w:pPr>
        <w:pStyle w:val="Zkladntext2"/>
      </w:pPr>
      <w:r>
        <w:t xml:space="preserve">RO  č. </w:t>
      </w:r>
      <w:r w:rsidR="009E06FB">
        <w:t>4</w:t>
      </w:r>
      <w:r w:rsidR="00D65B2B">
        <w:t>1</w:t>
      </w:r>
      <w:r>
        <w:t xml:space="preserve">  ve výši  250.000 Kč</w:t>
      </w:r>
    </w:p>
    <w:p w:rsidR="00645B1C" w:rsidRDefault="00645B1C" w:rsidP="00645B1C">
      <w:pPr>
        <w:jc w:val="both"/>
      </w:pPr>
      <w:r>
        <w:t xml:space="preserve">Poskytnutí investičního příspěvku příspěvkové organizaci MěKS Strakonice na zakoupení osobního automobilu, který bude využíván na rozvoz poukázek pro seniory. Rozpočtové opatření bude kryto </w:t>
      </w:r>
      <w:r w:rsidRPr="002967DC">
        <w:t>vratkami příspěvkových organizací města do</w:t>
      </w:r>
      <w:r>
        <w:t> </w:t>
      </w:r>
      <w:r w:rsidRPr="002967DC">
        <w:t>rozpočtu zřizovatele ve výši nedočerpaných účelových prostředků za</w:t>
      </w:r>
      <w:r>
        <w:t> </w:t>
      </w:r>
      <w:r w:rsidRPr="002967DC">
        <w:t>rok</w:t>
      </w:r>
      <w:r>
        <w:t> </w:t>
      </w:r>
      <w:r w:rsidRPr="002967DC">
        <w:t xml:space="preserve"> 201</w:t>
      </w:r>
      <w:r>
        <w:t>7</w:t>
      </w:r>
      <w:r w:rsidRPr="002967DC">
        <w:t xml:space="preserve">.  </w:t>
      </w:r>
    </w:p>
    <w:p w:rsidR="00645B1C" w:rsidRDefault="00645B1C" w:rsidP="00645B1C">
      <w:pPr>
        <w:pStyle w:val="Zkladntext"/>
      </w:pPr>
      <w:r>
        <w:t>(v tis. Kč)</w:t>
      </w:r>
    </w:p>
    <w:tbl>
      <w:tblPr>
        <w:tblW w:w="91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2"/>
        <w:gridCol w:w="170"/>
        <w:gridCol w:w="1471"/>
        <w:gridCol w:w="800"/>
        <w:gridCol w:w="701"/>
        <w:gridCol w:w="631"/>
        <w:gridCol w:w="993"/>
        <w:gridCol w:w="1010"/>
      </w:tblGrid>
      <w:tr w:rsidR="00645B1C" w:rsidTr="007F5CC3">
        <w:trPr>
          <w:trHeight w:val="495"/>
        </w:trPr>
        <w:tc>
          <w:tcPr>
            <w:tcW w:w="352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B1C" w:rsidRDefault="00645B1C" w:rsidP="007F5CC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B1C" w:rsidRDefault="00645B1C" w:rsidP="007F5CC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B1C" w:rsidRDefault="00645B1C" w:rsidP="007F5CC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upr.rozp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B1C" w:rsidRDefault="00645B1C" w:rsidP="007F5CC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B1C" w:rsidRDefault="00645B1C" w:rsidP="007F5CC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B1C" w:rsidRDefault="00645B1C" w:rsidP="007F5CC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17.04.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5B1C" w:rsidRDefault="00645B1C" w:rsidP="007F5CC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645B1C" w:rsidTr="007F5CC3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645B1C" w:rsidP="00527B2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MěKS </w:t>
            </w:r>
            <w:proofErr w:type="gramStart"/>
            <w:r>
              <w:rPr>
                <w:rFonts w:ascii="Arial" w:hAnsi="Arial"/>
                <w:sz w:val="18"/>
                <w:szCs w:val="18"/>
              </w:rPr>
              <w:t>Strakonice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>–</w:t>
            </w:r>
            <w:proofErr w:type="gramStart"/>
            <w:r>
              <w:rPr>
                <w:rFonts w:ascii="Arial" w:hAnsi="Arial"/>
                <w:sz w:val="18"/>
                <w:szCs w:val="18"/>
              </w:rPr>
              <w:t>investice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 xml:space="preserve"> (osobní automobil)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645B1C" w:rsidP="007F5CC3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527B29" w:rsidP="007F5CC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645B1C" w:rsidP="007F5CC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250,0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527B29" w:rsidP="007F5CC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250,0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527B29" w:rsidP="007F5CC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527B29" w:rsidP="007F5CC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250,0</w:t>
            </w:r>
          </w:p>
        </w:tc>
      </w:tr>
      <w:tr w:rsidR="00645B1C" w:rsidTr="007F5CC3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645B1C" w:rsidP="007F5CC3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645B1C" w:rsidP="007F5CC3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645B1C" w:rsidP="007F5CC3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 – vratky úč.pr.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527B29" w:rsidP="007F5CC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75</w:t>
            </w:r>
            <w:r w:rsidR="00645B1C">
              <w:rPr>
                <w:rFonts w:ascii="Arial" w:eastAsia="Arial Unicode MS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645B1C" w:rsidP="007F5CC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527B29" w:rsidP="007F5CC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1.000,0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645B1C" w:rsidP="007F5CC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2.013,9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645B1C" w:rsidP="007F5CC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2.013,9</w:t>
            </w:r>
          </w:p>
        </w:tc>
      </w:tr>
      <w:tr w:rsidR="00645B1C" w:rsidTr="007F5CC3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645B1C" w:rsidP="007F5CC3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645B1C" w:rsidP="007F5CC3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645B1C" w:rsidP="007F5CC3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645B1C" w:rsidP="007F5CC3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645B1C" w:rsidP="007F5CC3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645B1C" w:rsidP="007F5CC3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645B1C" w:rsidP="007F5CC3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645B1C" w:rsidP="007F5CC3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645B1C" w:rsidTr="007F5CC3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645B1C" w:rsidP="007F5CC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645B1C" w:rsidP="007F5CC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645B1C" w:rsidP="007F5CC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645B1C" w:rsidP="007F5CC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645B1C" w:rsidP="007F5CC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645B1C" w:rsidP="007F5CC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645B1C" w:rsidP="007F5CC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645B1C" w:rsidP="007F5CC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645B1C" w:rsidTr="007F5CC3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645B1C" w:rsidP="007F5CC3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645B1C" w:rsidP="007F5CC3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645B1C" w:rsidP="007F5CC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1078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645B1C" w:rsidP="007F5CC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3319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527B29" w:rsidP="007F5CC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</w:t>
            </w:r>
            <w:r w:rsidR="00645B1C">
              <w:rPr>
                <w:rFonts w:ascii="Arial" w:hAnsi="Arial"/>
                <w:sz w:val="18"/>
                <w:szCs w:val="18"/>
              </w:rPr>
              <w:t>3</w:t>
            </w:r>
            <w:r>
              <w:rPr>
                <w:rFonts w:ascii="Arial" w:hAnsi="Arial"/>
                <w:sz w:val="18"/>
                <w:szCs w:val="18"/>
              </w:rPr>
              <w:t>5</w:t>
            </w:r>
            <w:r w:rsidR="00645B1C">
              <w:rPr>
                <w:rFonts w:ascii="Arial" w:hAnsi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645B1C" w:rsidP="007F5CC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250,0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645B1C" w:rsidP="007F5CC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645B1C" w:rsidP="007F5CC3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645B1C" w:rsidTr="007F5CC3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645B1C" w:rsidP="007F5CC3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Příjmy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645B1C" w:rsidP="007F5CC3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645B1C" w:rsidP="007F5CC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645B1C" w:rsidP="007F5CC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3xxx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645B1C" w:rsidP="007F5CC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645B1C" w:rsidP="007F5CC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250,0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645B1C" w:rsidP="007F5CC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5B1C" w:rsidRDefault="00645B1C" w:rsidP="007F5CC3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527B29" w:rsidRDefault="00527B29" w:rsidP="007A2432">
      <w:pPr>
        <w:pStyle w:val="Zkladntext2"/>
      </w:pPr>
    </w:p>
    <w:p w:rsidR="00527B29" w:rsidRDefault="00527B29" w:rsidP="00527B29">
      <w:pPr>
        <w:rPr>
          <w:rFonts w:eastAsia="MS Mincho"/>
        </w:rPr>
      </w:pPr>
    </w:p>
    <w:p w:rsidR="00E10F14" w:rsidRPr="00527B29" w:rsidRDefault="00E10F14" w:rsidP="00E10F14">
      <w:pPr>
        <w:pStyle w:val="Nadpis2"/>
        <w:rPr>
          <w:rFonts w:eastAsia="MS Mincho"/>
        </w:rPr>
      </w:pPr>
      <w:r>
        <w:lastRenderedPageBreak/>
        <w:t xml:space="preserve">3) Příspěvkové organizace města – použití investičních fondů – MěKS, </w:t>
      </w:r>
      <w:proofErr w:type="spellStart"/>
      <w:r>
        <w:t>MěÚSS</w:t>
      </w:r>
      <w:proofErr w:type="spellEnd"/>
    </w:p>
    <w:p w:rsidR="00E10F14" w:rsidRDefault="00E10F14" w:rsidP="00E10F14">
      <w:pPr>
        <w:pStyle w:val="Zkladntext2"/>
      </w:pPr>
    </w:p>
    <w:p w:rsidR="00E10F14" w:rsidRDefault="00E10F14" w:rsidP="00E10F14">
      <w:pPr>
        <w:rPr>
          <w:i/>
          <w:iCs/>
        </w:rPr>
      </w:pPr>
      <w:r>
        <w:rPr>
          <w:i/>
          <w:iCs/>
        </w:rPr>
        <w:t>Finanční odbor (Ing. E. Jankovcová) doporučuje RM přijmout níže uvedené usnesení:</w:t>
      </w:r>
    </w:p>
    <w:p w:rsidR="00E10F14" w:rsidRDefault="00E10F14" w:rsidP="00E10F14"/>
    <w:p w:rsidR="00E10F14" w:rsidRDefault="00E10F14" w:rsidP="00E10F14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E10F14" w:rsidRDefault="00E10F14" w:rsidP="00E10F14">
      <w:pPr>
        <w:pStyle w:val="Zhlav"/>
        <w:tabs>
          <w:tab w:val="clear" w:pos="4536"/>
          <w:tab w:val="clear" w:pos="9072"/>
        </w:tabs>
      </w:pPr>
      <w:r>
        <w:t>RM po projednání</w:t>
      </w:r>
    </w:p>
    <w:p w:rsidR="00E10F14" w:rsidRDefault="00E10F14" w:rsidP="00E10F14">
      <w:pPr>
        <w:pStyle w:val="Zhlav"/>
        <w:tabs>
          <w:tab w:val="clear" w:pos="4536"/>
          <w:tab w:val="clear" w:pos="9072"/>
        </w:tabs>
      </w:pPr>
    </w:p>
    <w:p w:rsidR="00E10F14" w:rsidRDefault="00E10F14" w:rsidP="00E10F14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Souhlasí</w:t>
      </w:r>
    </w:p>
    <w:p w:rsidR="00E10F14" w:rsidRDefault="00E10F14" w:rsidP="00E10F14">
      <w:pPr>
        <w:pStyle w:val="Zhlav"/>
        <w:numPr>
          <w:ilvl w:val="0"/>
          <w:numId w:val="9"/>
        </w:numPr>
        <w:tabs>
          <w:tab w:val="clear" w:pos="4536"/>
          <w:tab w:val="clear" w:pos="9072"/>
        </w:tabs>
        <w:ind w:left="708"/>
        <w:jc w:val="both"/>
      </w:pPr>
      <w:r>
        <w:t xml:space="preserve">s použitím investičního fondu </w:t>
      </w:r>
      <w:r w:rsidRPr="00DE2869">
        <w:t>příspěvkové organizac</w:t>
      </w:r>
      <w:r>
        <w:t>e</w:t>
      </w:r>
      <w:r w:rsidRPr="00DE2869">
        <w:t xml:space="preserve"> </w:t>
      </w:r>
      <w:r w:rsidRPr="00C65EC9">
        <w:rPr>
          <w:b/>
        </w:rPr>
        <w:t xml:space="preserve">Městské kulturní středisko Strakonice </w:t>
      </w:r>
      <w:r>
        <w:rPr>
          <w:b/>
        </w:rPr>
        <w:t xml:space="preserve">v maximální výši 250.000 Kč </w:t>
      </w:r>
      <w:r w:rsidRPr="00DE2869">
        <w:t>na </w:t>
      </w:r>
      <w:r>
        <w:t>pořízení ojetého dodávkového vozu</w:t>
      </w:r>
    </w:p>
    <w:p w:rsidR="00E10F14" w:rsidRDefault="00E10F14" w:rsidP="00E10F14">
      <w:pPr>
        <w:pStyle w:val="Zhlav"/>
        <w:tabs>
          <w:tab w:val="clear" w:pos="4536"/>
          <w:tab w:val="clear" w:pos="9072"/>
        </w:tabs>
        <w:jc w:val="both"/>
      </w:pPr>
    </w:p>
    <w:p w:rsidR="00E10F14" w:rsidRDefault="00E10F14" w:rsidP="00E10F14">
      <w:pPr>
        <w:pStyle w:val="Zhlav"/>
        <w:numPr>
          <w:ilvl w:val="0"/>
          <w:numId w:val="9"/>
        </w:numPr>
        <w:tabs>
          <w:tab w:val="clear" w:pos="4536"/>
          <w:tab w:val="clear" w:pos="9072"/>
        </w:tabs>
        <w:ind w:left="708"/>
        <w:jc w:val="both"/>
      </w:pPr>
      <w:r>
        <w:t xml:space="preserve">s použitím investičního fondu </w:t>
      </w:r>
      <w:r w:rsidRPr="00DE2869">
        <w:t>příspěvkové organizac</w:t>
      </w:r>
      <w:r>
        <w:t>e</w:t>
      </w:r>
      <w:r w:rsidRPr="00DE2869">
        <w:t xml:space="preserve"> </w:t>
      </w:r>
      <w:r w:rsidRPr="00C65EC9">
        <w:rPr>
          <w:b/>
        </w:rPr>
        <w:t>Městsk</w:t>
      </w:r>
      <w:r>
        <w:rPr>
          <w:b/>
        </w:rPr>
        <w:t>ý ústav sociálních služeb St</w:t>
      </w:r>
      <w:r w:rsidRPr="00C65EC9">
        <w:rPr>
          <w:b/>
        </w:rPr>
        <w:t xml:space="preserve">rakonice </w:t>
      </w:r>
      <w:r>
        <w:rPr>
          <w:b/>
        </w:rPr>
        <w:t xml:space="preserve">v maximální výši 100.000 Kč </w:t>
      </w:r>
      <w:r w:rsidRPr="00DE2869">
        <w:t>na </w:t>
      </w:r>
      <w:r>
        <w:t>pořízení zahradního traktoru, který bude využíván zejména k sečení travního porostu a údržbu chodníků na pozemku v rozšířeném areálu Domova pro seniory v Rybniční ulici, který byl organizaci vypůjčen městem Strakonice v souladu s Dodatkem č. 2 a 3 (schváleno RM dne 29.03.2017 usnesením č. 3232/2017) ke Smlouvě o výpůjčce č. 2012-445.</w:t>
      </w:r>
    </w:p>
    <w:p w:rsidR="002B0832" w:rsidRDefault="002B0832" w:rsidP="00C72F33"/>
    <w:p w:rsidR="002B0832" w:rsidRDefault="002B0832" w:rsidP="00C72F33"/>
    <w:p w:rsidR="00EC6A0B" w:rsidRDefault="00EC6A0B" w:rsidP="00EC6A0B">
      <w:pPr>
        <w:rPr>
          <w:i/>
          <w:iCs/>
        </w:rPr>
      </w:pPr>
    </w:p>
    <w:p w:rsidR="00EC6A0B" w:rsidRPr="003D396B" w:rsidRDefault="00EC6A0B" w:rsidP="00EC6A0B">
      <w:pPr>
        <w:pStyle w:val="Zkladntext2"/>
        <w:rPr>
          <w:b w:val="0"/>
        </w:rPr>
      </w:pPr>
      <w:bookmarkStart w:id="0" w:name="_GoBack"/>
      <w:bookmarkEnd w:id="0"/>
    </w:p>
    <w:sectPr w:rsidR="00EC6A0B" w:rsidRPr="003D396B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7"/>
  </w:num>
  <w:num w:numId="9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52A74"/>
    <w:rsid w:val="000835C8"/>
    <w:rsid w:val="00094215"/>
    <w:rsid w:val="000A6BC1"/>
    <w:rsid w:val="000A77CB"/>
    <w:rsid w:val="000B1182"/>
    <w:rsid w:val="000D3853"/>
    <w:rsid w:val="000E5EAF"/>
    <w:rsid w:val="00102044"/>
    <w:rsid w:val="00102722"/>
    <w:rsid w:val="00124687"/>
    <w:rsid w:val="001263FF"/>
    <w:rsid w:val="00134117"/>
    <w:rsid w:val="00161B19"/>
    <w:rsid w:val="001665E9"/>
    <w:rsid w:val="00166B0F"/>
    <w:rsid w:val="0017026A"/>
    <w:rsid w:val="001B26EA"/>
    <w:rsid w:val="001B5877"/>
    <w:rsid w:val="001C01FA"/>
    <w:rsid w:val="001C395E"/>
    <w:rsid w:val="001D2FEC"/>
    <w:rsid w:val="001D7D25"/>
    <w:rsid w:val="001E7797"/>
    <w:rsid w:val="001E78A6"/>
    <w:rsid w:val="001F1B8D"/>
    <w:rsid w:val="00211CC6"/>
    <w:rsid w:val="00216B2F"/>
    <w:rsid w:val="00217EDF"/>
    <w:rsid w:val="00223606"/>
    <w:rsid w:val="00224392"/>
    <w:rsid w:val="002338F8"/>
    <w:rsid w:val="00253FA7"/>
    <w:rsid w:val="00264AEC"/>
    <w:rsid w:val="00275F93"/>
    <w:rsid w:val="0029381C"/>
    <w:rsid w:val="002B0832"/>
    <w:rsid w:val="002D3D91"/>
    <w:rsid w:val="002E3C56"/>
    <w:rsid w:val="002F58A7"/>
    <w:rsid w:val="00357198"/>
    <w:rsid w:val="00371FB1"/>
    <w:rsid w:val="00373578"/>
    <w:rsid w:val="003A435A"/>
    <w:rsid w:val="003B2651"/>
    <w:rsid w:val="003D4F75"/>
    <w:rsid w:val="003D5DA3"/>
    <w:rsid w:val="003E1120"/>
    <w:rsid w:val="003E35C3"/>
    <w:rsid w:val="003E7F17"/>
    <w:rsid w:val="003F19A8"/>
    <w:rsid w:val="003F60E2"/>
    <w:rsid w:val="00403DFF"/>
    <w:rsid w:val="004133EB"/>
    <w:rsid w:val="004220EB"/>
    <w:rsid w:val="00430EC5"/>
    <w:rsid w:val="0044356B"/>
    <w:rsid w:val="0044424E"/>
    <w:rsid w:val="004538BF"/>
    <w:rsid w:val="00465923"/>
    <w:rsid w:val="00471F08"/>
    <w:rsid w:val="00473D88"/>
    <w:rsid w:val="004B3CCE"/>
    <w:rsid w:val="004C5491"/>
    <w:rsid w:val="004F111F"/>
    <w:rsid w:val="004F5290"/>
    <w:rsid w:val="004F6997"/>
    <w:rsid w:val="00515C95"/>
    <w:rsid w:val="005265A1"/>
    <w:rsid w:val="00527B29"/>
    <w:rsid w:val="005641A9"/>
    <w:rsid w:val="00564F1B"/>
    <w:rsid w:val="00571569"/>
    <w:rsid w:val="00585045"/>
    <w:rsid w:val="005B2D03"/>
    <w:rsid w:val="005C069A"/>
    <w:rsid w:val="005C31DE"/>
    <w:rsid w:val="005D076E"/>
    <w:rsid w:val="00620132"/>
    <w:rsid w:val="006454A9"/>
    <w:rsid w:val="00645B1C"/>
    <w:rsid w:val="00665016"/>
    <w:rsid w:val="00691229"/>
    <w:rsid w:val="00691575"/>
    <w:rsid w:val="006A49B4"/>
    <w:rsid w:val="006C1765"/>
    <w:rsid w:val="006F3E0B"/>
    <w:rsid w:val="00702478"/>
    <w:rsid w:val="007116A8"/>
    <w:rsid w:val="00717DE3"/>
    <w:rsid w:val="00736BF8"/>
    <w:rsid w:val="0075777C"/>
    <w:rsid w:val="0077043F"/>
    <w:rsid w:val="00770D77"/>
    <w:rsid w:val="00776F9A"/>
    <w:rsid w:val="00787618"/>
    <w:rsid w:val="00797E84"/>
    <w:rsid w:val="007A2432"/>
    <w:rsid w:val="007A4057"/>
    <w:rsid w:val="007A5C7D"/>
    <w:rsid w:val="007B1568"/>
    <w:rsid w:val="007B1739"/>
    <w:rsid w:val="007D024A"/>
    <w:rsid w:val="007D30D8"/>
    <w:rsid w:val="007F369C"/>
    <w:rsid w:val="007F51E5"/>
    <w:rsid w:val="007F5578"/>
    <w:rsid w:val="008030F0"/>
    <w:rsid w:val="00851A96"/>
    <w:rsid w:val="008621CC"/>
    <w:rsid w:val="00870E11"/>
    <w:rsid w:val="008B4B96"/>
    <w:rsid w:val="008F1F41"/>
    <w:rsid w:val="008F2CF5"/>
    <w:rsid w:val="00901BC1"/>
    <w:rsid w:val="00907975"/>
    <w:rsid w:val="00907D6D"/>
    <w:rsid w:val="00930F3C"/>
    <w:rsid w:val="00931922"/>
    <w:rsid w:val="0093792A"/>
    <w:rsid w:val="00937EEE"/>
    <w:rsid w:val="0094095D"/>
    <w:rsid w:val="009509E1"/>
    <w:rsid w:val="009747B2"/>
    <w:rsid w:val="0097645F"/>
    <w:rsid w:val="00984A32"/>
    <w:rsid w:val="00995966"/>
    <w:rsid w:val="009E06FB"/>
    <w:rsid w:val="009E096A"/>
    <w:rsid w:val="009F2507"/>
    <w:rsid w:val="009F4861"/>
    <w:rsid w:val="00A01521"/>
    <w:rsid w:val="00A15D10"/>
    <w:rsid w:val="00A3663F"/>
    <w:rsid w:val="00A37D33"/>
    <w:rsid w:val="00A64FB6"/>
    <w:rsid w:val="00A66E5B"/>
    <w:rsid w:val="00AC000F"/>
    <w:rsid w:val="00AC12EC"/>
    <w:rsid w:val="00AC1A09"/>
    <w:rsid w:val="00AD7123"/>
    <w:rsid w:val="00AE1A47"/>
    <w:rsid w:val="00B009B6"/>
    <w:rsid w:val="00B26213"/>
    <w:rsid w:val="00B43F96"/>
    <w:rsid w:val="00B526D2"/>
    <w:rsid w:val="00B62BB4"/>
    <w:rsid w:val="00B632DC"/>
    <w:rsid w:val="00B65A78"/>
    <w:rsid w:val="00B71F7B"/>
    <w:rsid w:val="00B81C85"/>
    <w:rsid w:val="00BA284D"/>
    <w:rsid w:val="00BA75B3"/>
    <w:rsid w:val="00BC7806"/>
    <w:rsid w:val="00C16B6D"/>
    <w:rsid w:val="00C44C15"/>
    <w:rsid w:val="00C56885"/>
    <w:rsid w:val="00C65EC9"/>
    <w:rsid w:val="00C72F33"/>
    <w:rsid w:val="00C86D21"/>
    <w:rsid w:val="00CD3E0F"/>
    <w:rsid w:val="00CF4D00"/>
    <w:rsid w:val="00D050EE"/>
    <w:rsid w:val="00D0648E"/>
    <w:rsid w:val="00D13400"/>
    <w:rsid w:val="00D14D10"/>
    <w:rsid w:val="00D20871"/>
    <w:rsid w:val="00D53445"/>
    <w:rsid w:val="00D5458C"/>
    <w:rsid w:val="00D55BDE"/>
    <w:rsid w:val="00D65B2B"/>
    <w:rsid w:val="00D8080B"/>
    <w:rsid w:val="00D910D9"/>
    <w:rsid w:val="00D92952"/>
    <w:rsid w:val="00D93D24"/>
    <w:rsid w:val="00D96D0B"/>
    <w:rsid w:val="00DA55A1"/>
    <w:rsid w:val="00DC3052"/>
    <w:rsid w:val="00DE30AD"/>
    <w:rsid w:val="00DF0198"/>
    <w:rsid w:val="00E0541F"/>
    <w:rsid w:val="00E10F14"/>
    <w:rsid w:val="00E226CE"/>
    <w:rsid w:val="00E31475"/>
    <w:rsid w:val="00E472B7"/>
    <w:rsid w:val="00E55622"/>
    <w:rsid w:val="00E73EAC"/>
    <w:rsid w:val="00E93088"/>
    <w:rsid w:val="00EA5BAC"/>
    <w:rsid w:val="00EC6A0B"/>
    <w:rsid w:val="00EE1EA8"/>
    <w:rsid w:val="00EE5BF9"/>
    <w:rsid w:val="00EE5F83"/>
    <w:rsid w:val="00EF07AE"/>
    <w:rsid w:val="00EF0929"/>
    <w:rsid w:val="00EF11D3"/>
    <w:rsid w:val="00F148ED"/>
    <w:rsid w:val="00F22591"/>
    <w:rsid w:val="00F701F6"/>
    <w:rsid w:val="00F757F0"/>
    <w:rsid w:val="00F96978"/>
    <w:rsid w:val="00FA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52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DF292-DC2F-478A-9D63-3190AF9B5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2127</TotalTime>
  <Pages>4</Pages>
  <Words>888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46</cp:revision>
  <cp:lastPrinted>2018-04-18T08:08:00Z</cp:lastPrinted>
  <dcterms:created xsi:type="dcterms:W3CDTF">2018-01-15T11:56:00Z</dcterms:created>
  <dcterms:modified xsi:type="dcterms:W3CDTF">2018-04-19T06:41:00Z</dcterms:modified>
</cp:coreProperties>
</file>