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D98BB" w14:textId="77777777" w:rsidR="005F1933" w:rsidRDefault="005F1933" w:rsidP="005F193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31AE485D" w:rsidR="00281B03" w:rsidRDefault="00DF1051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69</w:t>
      </w:r>
      <w:r w:rsidR="00850D60">
        <w:rPr>
          <w:rFonts w:eastAsia="Times New Roman" w:cs="Tahoma"/>
          <w:b/>
          <w:bCs/>
          <w:sz w:val="24"/>
          <w:szCs w:val="24"/>
          <w:lang w:eastAsia="cs-CZ"/>
        </w:rPr>
        <w:t>/4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5E851C59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DF1051">
        <w:rPr>
          <w:rFonts w:cs="Tahoma"/>
          <w:szCs w:val="20"/>
          <w:lang w:eastAsia="cs-CZ"/>
        </w:rPr>
        <w:t>08</w:t>
      </w:r>
      <w:r w:rsidR="009F37CC">
        <w:rPr>
          <w:rFonts w:cs="Tahoma"/>
          <w:szCs w:val="20"/>
          <w:lang w:eastAsia="cs-CZ"/>
        </w:rPr>
        <w:t xml:space="preserve">. </w:t>
      </w:r>
      <w:r w:rsidR="005F3FF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541BC5A7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6219B7E3" w14:textId="77635933" w:rsidR="007E6428" w:rsidRPr="007E6428" w:rsidRDefault="007E6428" w:rsidP="007E6428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1)</w:t>
      </w:r>
      <w:r w:rsidRPr="007E642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proofErr w:type="spellStart"/>
      <w:r w:rsidRPr="007E642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Agrokat</w:t>
      </w:r>
      <w:proofErr w:type="spellEnd"/>
      <w:r w:rsidRPr="007E642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spol. s r. o., IČ 49022296, se sídlem </w:t>
      </w:r>
      <w:proofErr w:type="spellStart"/>
      <w:r w:rsidRPr="007E642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Krtská</w:t>
      </w:r>
      <w:proofErr w:type="spellEnd"/>
      <w:r w:rsidRPr="007E642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55, 387 11 Katovice - dodatek k nájemní smlouvě  č. 99-050</w:t>
      </w:r>
    </w:p>
    <w:p w14:paraId="0FB062E6" w14:textId="77777777" w:rsidR="007E6428" w:rsidRPr="007E6428" w:rsidRDefault="007E6428" w:rsidP="007E6428">
      <w:pPr>
        <w:spacing w:after="0"/>
        <w:jc w:val="left"/>
        <w:rPr>
          <w:rFonts w:eastAsia="Calibri" w:cs="Tahoma"/>
          <w:szCs w:val="20"/>
        </w:rPr>
      </w:pPr>
    </w:p>
    <w:p w14:paraId="3267E803" w14:textId="77777777" w:rsidR="007E6428" w:rsidRPr="007E6428" w:rsidRDefault="007E6428" w:rsidP="007E642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E642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73C900F" w14:textId="77777777" w:rsidR="007E6428" w:rsidRPr="007E6428" w:rsidRDefault="007E6428" w:rsidP="007E6428">
      <w:pPr>
        <w:spacing w:after="0"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>RM po projednání</w:t>
      </w:r>
    </w:p>
    <w:p w14:paraId="496F688A" w14:textId="77777777" w:rsidR="007E6428" w:rsidRPr="007E6428" w:rsidRDefault="007E6428" w:rsidP="007E642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E6428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520A4ED9" w14:textId="3BC90CD1" w:rsidR="007E6428" w:rsidRPr="007E6428" w:rsidRDefault="007E6428" w:rsidP="00980C2E">
      <w:pPr>
        <w:spacing w:after="0"/>
        <w:rPr>
          <w:rFonts w:eastAsia="Calibri" w:cs="Tahoma"/>
          <w:szCs w:val="20"/>
        </w:rPr>
      </w:pPr>
      <w:r w:rsidRPr="007E6428">
        <w:rPr>
          <w:rFonts w:eastAsia="Calibri" w:cs="Tahoma"/>
          <w:szCs w:val="20"/>
        </w:rPr>
        <w:t xml:space="preserve">uzavření dodatku č. 7 k nájemní smlouvě č. 99-050 uzavřené mezi městem Strakonice se sídlem Velké náměstí 2, 386 21 Strakonice, IČ: 00251810 a společností </w:t>
      </w:r>
      <w:proofErr w:type="spellStart"/>
      <w:r w:rsidRPr="007E6428">
        <w:rPr>
          <w:rFonts w:eastAsia="Calibri" w:cs="Tahoma"/>
          <w:szCs w:val="20"/>
        </w:rPr>
        <w:t>Agrokat</w:t>
      </w:r>
      <w:proofErr w:type="spellEnd"/>
      <w:r w:rsidRPr="007E6428">
        <w:rPr>
          <w:rFonts w:eastAsia="Calibri" w:cs="Tahoma"/>
          <w:szCs w:val="20"/>
        </w:rPr>
        <w:t xml:space="preserve"> spol. s r. o. se sídlem </w:t>
      </w:r>
      <w:proofErr w:type="spellStart"/>
      <w:r w:rsidRPr="007E6428">
        <w:rPr>
          <w:rFonts w:eastAsia="Calibri" w:cs="Tahoma"/>
          <w:szCs w:val="20"/>
        </w:rPr>
        <w:t>Krtská</w:t>
      </w:r>
      <w:proofErr w:type="spellEnd"/>
      <w:r w:rsidRPr="007E6428">
        <w:rPr>
          <w:rFonts w:eastAsia="Calibri" w:cs="Tahoma"/>
          <w:szCs w:val="20"/>
        </w:rPr>
        <w:t xml:space="preserve"> 55, 387 11 Katovice, IČ: 49022296, jehož předmětem bude změna předmětu nájmu od </w:t>
      </w:r>
      <w:proofErr w:type="gramStart"/>
      <w:r w:rsidR="00980C2E">
        <w:rPr>
          <w:rFonts w:eastAsia="Calibri" w:cs="Tahoma"/>
          <w:szCs w:val="20"/>
        </w:rPr>
        <w:t>0</w:t>
      </w:r>
      <w:r w:rsidRPr="007E6428">
        <w:rPr>
          <w:rFonts w:eastAsia="Calibri" w:cs="Tahoma"/>
          <w:szCs w:val="20"/>
        </w:rPr>
        <w:t>1.</w:t>
      </w:r>
      <w:r w:rsidR="00980C2E">
        <w:rPr>
          <w:rFonts w:eastAsia="Calibri" w:cs="Tahoma"/>
          <w:szCs w:val="20"/>
        </w:rPr>
        <w:t>0</w:t>
      </w:r>
      <w:r w:rsidRPr="007E6428">
        <w:rPr>
          <w:rFonts w:eastAsia="Calibri" w:cs="Tahoma"/>
          <w:szCs w:val="20"/>
        </w:rPr>
        <w:t>6.2022</w:t>
      </w:r>
      <w:proofErr w:type="gramEnd"/>
      <w:r w:rsidRPr="007E6428">
        <w:rPr>
          <w:rFonts w:eastAsia="Calibri" w:cs="Tahoma"/>
          <w:szCs w:val="20"/>
        </w:rPr>
        <w:t>, a to vypuštění následujících pozemků:</w:t>
      </w:r>
    </w:p>
    <w:p w14:paraId="707FB711" w14:textId="2479A56D" w:rsidR="007E6428" w:rsidRPr="007E6428" w:rsidRDefault="007E6428" w:rsidP="00980C2E">
      <w:pPr>
        <w:numPr>
          <w:ilvl w:val="0"/>
          <w:numId w:val="12"/>
        </w:numPr>
        <w:spacing w:after="0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p. č. 454/7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Střela o výměře 4.377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="00A00BEB">
        <w:rPr>
          <w:rFonts w:eastAsia="Times New Roman" w:cs="Tahoma"/>
          <w:szCs w:val="20"/>
          <w:lang w:eastAsia="cs-CZ"/>
        </w:rPr>
        <w:t xml:space="preserve"> </w:t>
      </w:r>
    </w:p>
    <w:p w14:paraId="6E9EF804" w14:textId="77777777" w:rsidR="007E6428" w:rsidRPr="007E6428" w:rsidRDefault="007E6428" w:rsidP="00980C2E">
      <w:pPr>
        <w:numPr>
          <w:ilvl w:val="0"/>
          <w:numId w:val="12"/>
        </w:numPr>
        <w:spacing w:before="100" w:beforeAutospacing="1" w:after="100" w:afterAutospacing="1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p. č. 472/3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Střela o výměře 13.642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Pr="007E6428">
        <w:rPr>
          <w:rFonts w:eastAsia="Times New Roman" w:cs="Tahoma"/>
          <w:szCs w:val="20"/>
          <w:lang w:eastAsia="cs-CZ"/>
        </w:rPr>
        <w:t xml:space="preserve"> </w:t>
      </w:r>
    </w:p>
    <w:p w14:paraId="639DA092" w14:textId="77777777" w:rsidR="007E6428" w:rsidRPr="007E6428" w:rsidRDefault="007E6428" w:rsidP="00980C2E">
      <w:pPr>
        <w:numPr>
          <w:ilvl w:val="0"/>
          <w:numId w:val="12"/>
        </w:numPr>
        <w:spacing w:before="100" w:beforeAutospacing="1" w:after="100" w:afterAutospacing="1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část pozemku p. č. 509/32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Střela o výměře 42.000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Pr="007E6428">
        <w:rPr>
          <w:rFonts w:eastAsia="Times New Roman" w:cs="Tahoma"/>
          <w:szCs w:val="20"/>
          <w:lang w:eastAsia="cs-CZ"/>
        </w:rPr>
        <w:t xml:space="preserve"> (nově podle GP p. č. 509/39)</w:t>
      </w:r>
    </w:p>
    <w:p w14:paraId="3125E944" w14:textId="77777777" w:rsidR="007E6428" w:rsidRPr="007E6428" w:rsidRDefault="007E6428" w:rsidP="00980C2E">
      <w:pPr>
        <w:numPr>
          <w:ilvl w:val="0"/>
          <w:numId w:val="12"/>
        </w:numPr>
        <w:spacing w:before="100" w:beforeAutospacing="1" w:after="100" w:afterAutospacing="1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část pozemku p. č. 1338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7E6428">
        <w:rPr>
          <w:rFonts w:eastAsia="Times New Roman" w:cs="Tahoma"/>
          <w:szCs w:val="20"/>
          <w:lang w:eastAsia="cs-CZ"/>
        </w:rPr>
        <w:t>Dražejov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u Strakonic o výměře 2.600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Pr="007E6428">
        <w:rPr>
          <w:rFonts w:eastAsia="Times New Roman" w:cs="Tahoma"/>
          <w:szCs w:val="20"/>
          <w:lang w:eastAsia="cs-CZ"/>
        </w:rPr>
        <w:t xml:space="preserve"> (nově podle GP p. č. 1338/2)</w:t>
      </w:r>
    </w:p>
    <w:p w14:paraId="1672A295" w14:textId="77777777" w:rsidR="007E6428" w:rsidRPr="007E6428" w:rsidRDefault="007E6428" w:rsidP="00980C2E">
      <w:pPr>
        <w:numPr>
          <w:ilvl w:val="0"/>
          <w:numId w:val="12"/>
        </w:numPr>
        <w:spacing w:before="100" w:beforeAutospacing="1" w:after="100" w:afterAutospacing="1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p. č. 1406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7E6428">
        <w:rPr>
          <w:rFonts w:eastAsia="Times New Roman" w:cs="Tahoma"/>
          <w:szCs w:val="20"/>
          <w:lang w:eastAsia="cs-CZ"/>
        </w:rPr>
        <w:t>Dražejov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u Strakonic o výměře 9.858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Pr="007E6428">
        <w:rPr>
          <w:rFonts w:eastAsia="Times New Roman" w:cs="Tahoma"/>
          <w:szCs w:val="20"/>
          <w:lang w:eastAsia="cs-CZ"/>
        </w:rPr>
        <w:t xml:space="preserve"> </w:t>
      </w:r>
    </w:p>
    <w:p w14:paraId="46D3EF8B" w14:textId="77777777" w:rsidR="007E6428" w:rsidRPr="007E6428" w:rsidRDefault="007E6428" w:rsidP="00980C2E">
      <w:pPr>
        <w:numPr>
          <w:ilvl w:val="0"/>
          <w:numId w:val="12"/>
        </w:numPr>
        <w:spacing w:after="0"/>
        <w:ind w:left="714" w:hanging="357"/>
        <w:contextualSpacing/>
        <w:rPr>
          <w:rFonts w:eastAsia="Times New Roman" w:cs="Tahoma"/>
          <w:szCs w:val="20"/>
          <w:lang w:eastAsia="cs-CZ"/>
        </w:rPr>
      </w:pPr>
      <w:r w:rsidRPr="007E6428">
        <w:rPr>
          <w:rFonts w:eastAsia="Times New Roman" w:cs="Tahoma"/>
          <w:szCs w:val="20"/>
          <w:lang w:eastAsia="cs-CZ"/>
        </w:rPr>
        <w:t xml:space="preserve">p. č. 1408 v k. </w:t>
      </w:r>
      <w:proofErr w:type="spellStart"/>
      <w:r w:rsidRPr="007E6428">
        <w:rPr>
          <w:rFonts w:eastAsia="Times New Roman" w:cs="Tahoma"/>
          <w:szCs w:val="20"/>
          <w:lang w:eastAsia="cs-CZ"/>
        </w:rPr>
        <w:t>ú.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7E6428">
        <w:rPr>
          <w:rFonts w:eastAsia="Times New Roman" w:cs="Tahoma"/>
          <w:szCs w:val="20"/>
          <w:lang w:eastAsia="cs-CZ"/>
        </w:rPr>
        <w:t>Dražejov</w:t>
      </w:r>
      <w:proofErr w:type="spellEnd"/>
      <w:r w:rsidRPr="007E6428">
        <w:rPr>
          <w:rFonts w:eastAsia="Times New Roman" w:cs="Tahoma"/>
          <w:szCs w:val="20"/>
          <w:lang w:eastAsia="cs-CZ"/>
        </w:rPr>
        <w:t xml:space="preserve"> u Strakonic o výměře 38.439 m</w:t>
      </w:r>
      <w:r w:rsidRPr="007E6428">
        <w:rPr>
          <w:rFonts w:eastAsia="Times New Roman" w:cs="Tahoma"/>
          <w:szCs w:val="20"/>
          <w:vertAlign w:val="superscript"/>
          <w:lang w:eastAsia="cs-CZ"/>
        </w:rPr>
        <w:t>2</w:t>
      </w:r>
      <w:r w:rsidRPr="007E6428">
        <w:rPr>
          <w:rFonts w:eastAsia="Times New Roman" w:cs="Tahoma"/>
          <w:szCs w:val="20"/>
          <w:lang w:eastAsia="cs-CZ"/>
        </w:rPr>
        <w:t xml:space="preserve"> </w:t>
      </w:r>
    </w:p>
    <w:p w14:paraId="4B9970ED" w14:textId="77777777" w:rsidR="007E6428" w:rsidRPr="007E6428" w:rsidRDefault="007E6428" w:rsidP="007E642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E6428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588E0E3C" w14:textId="77777777" w:rsidR="007E6428" w:rsidRPr="007E6428" w:rsidRDefault="007E6428" w:rsidP="00A31C64">
      <w:pPr>
        <w:spacing w:after="0"/>
        <w:jc w:val="left"/>
        <w:rPr>
          <w:rFonts w:eastAsia="Calibri" w:cs="Tahoma"/>
          <w:szCs w:val="20"/>
        </w:rPr>
      </w:pPr>
      <w:r w:rsidRPr="007E6428">
        <w:rPr>
          <w:rFonts w:eastAsia="Calibri" w:cs="Tahoma"/>
          <w:szCs w:val="20"/>
        </w:rPr>
        <w:t>starostu města podpisem předmětného dodatku.</w:t>
      </w:r>
    </w:p>
    <w:p w14:paraId="63840C7F" w14:textId="6602805E" w:rsidR="00456192" w:rsidRDefault="00456192" w:rsidP="00A31C64">
      <w:pPr>
        <w:spacing w:after="0"/>
        <w:rPr>
          <w:rFonts w:cs="Tahoma"/>
          <w:lang w:eastAsia="cs-CZ"/>
        </w:rPr>
      </w:pPr>
    </w:p>
    <w:p w14:paraId="09038FC3" w14:textId="64220B0F" w:rsidR="00A31C64" w:rsidRDefault="00A31C64" w:rsidP="00A31C64">
      <w:pPr>
        <w:spacing w:after="0"/>
        <w:rPr>
          <w:rFonts w:cs="Tahoma"/>
          <w:lang w:eastAsia="cs-CZ"/>
        </w:rPr>
      </w:pPr>
    </w:p>
    <w:p w14:paraId="1E7C2CA0" w14:textId="35C518E0" w:rsidR="00A31C64" w:rsidRDefault="00A31C64" w:rsidP="00A31C64">
      <w:pPr>
        <w:spacing w:after="0"/>
        <w:rPr>
          <w:rFonts w:cs="Tahoma"/>
          <w:lang w:eastAsia="cs-CZ"/>
        </w:rPr>
      </w:pPr>
    </w:p>
    <w:p w14:paraId="39122F7E" w14:textId="36E68651" w:rsidR="00456192" w:rsidRPr="00456192" w:rsidRDefault="00456192" w:rsidP="00A31C64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4561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2) ZNAKON, a. s., č. p.  44, 386 01  Sousedovice – žádost o výpůjčku pozemků – vyhlášení záměru</w:t>
      </w:r>
    </w:p>
    <w:p w14:paraId="09B4D715" w14:textId="77777777" w:rsidR="00456192" w:rsidRPr="006F7EC9" w:rsidRDefault="00456192" w:rsidP="00A31C64">
      <w:pPr>
        <w:spacing w:after="0"/>
        <w:rPr>
          <w:rFonts w:cs="Tahoma"/>
          <w:lang w:eastAsia="cs-CZ"/>
        </w:rPr>
      </w:pPr>
    </w:p>
    <w:p w14:paraId="5BC2315D" w14:textId="77777777" w:rsidR="00456192" w:rsidRPr="00456192" w:rsidRDefault="00456192" w:rsidP="004561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61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43ECB3C5" w14:textId="77777777" w:rsidR="00456192" w:rsidRPr="00456192" w:rsidRDefault="00456192" w:rsidP="00456192">
      <w:pPr>
        <w:spacing w:after="0"/>
        <w:rPr>
          <w:rFonts w:eastAsia="Times New Roman" w:cs="Tahoma"/>
          <w:szCs w:val="20"/>
          <w:lang w:eastAsia="cs-CZ"/>
        </w:rPr>
      </w:pPr>
      <w:r w:rsidRPr="00456192">
        <w:rPr>
          <w:rFonts w:eastAsia="Times New Roman" w:cs="Tahoma"/>
          <w:szCs w:val="20"/>
          <w:lang w:eastAsia="cs-CZ"/>
        </w:rPr>
        <w:t>RM po projednání</w:t>
      </w:r>
    </w:p>
    <w:p w14:paraId="6AB9777D" w14:textId="77777777" w:rsidR="00456192" w:rsidRPr="00456192" w:rsidRDefault="00456192" w:rsidP="0045619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6192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 </w:t>
      </w:r>
    </w:p>
    <w:p w14:paraId="6829D7F7" w14:textId="77777777" w:rsidR="00456192" w:rsidRPr="00456192" w:rsidRDefault="00456192" w:rsidP="00456192">
      <w:pPr>
        <w:spacing w:after="0"/>
        <w:rPr>
          <w:rFonts w:eastAsia="MS Mincho" w:cs="Times New Roman"/>
          <w:szCs w:val="24"/>
          <w:lang w:eastAsia="cs-CZ"/>
        </w:rPr>
      </w:pPr>
      <w:r w:rsidRPr="00456192">
        <w:rPr>
          <w:rFonts w:eastAsia="Times New Roman" w:cs="Tahoma"/>
          <w:szCs w:val="20"/>
          <w:lang w:eastAsia="cs-CZ"/>
        </w:rPr>
        <w:t>vyhlášení záměru na výpůjčku částí pozemků parcelní číslo 369/3 o výměře cca 13 m</w:t>
      </w:r>
      <w:r w:rsidRPr="00456192">
        <w:rPr>
          <w:rFonts w:eastAsia="Times New Roman" w:cs="Tahoma"/>
          <w:szCs w:val="20"/>
          <w:vertAlign w:val="superscript"/>
          <w:lang w:eastAsia="cs-CZ"/>
        </w:rPr>
        <w:t>2</w:t>
      </w:r>
      <w:r w:rsidRPr="00456192">
        <w:rPr>
          <w:rFonts w:eastAsia="Times New Roman" w:cs="Tahoma"/>
          <w:szCs w:val="20"/>
          <w:lang w:eastAsia="cs-CZ"/>
        </w:rPr>
        <w:t>, parcelní číslo 1903 o výměře cca 877 m</w:t>
      </w:r>
      <w:r w:rsidRPr="00456192">
        <w:rPr>
          <w:rFonts w:eastAsia="Times New Roman" w:cs="Tahoma"/>
          <w:szCs w:val="20"/>
          <w:vertAlign w:val="superscript"/>
          <w:lang w:eastAsia="cs-CZ"/>
        </w:rPr>
        <w:t>2</w:t>
      </w:r>
      <w:r w:rsidRPr="00456192">
        <w:rPr>
          <w:rFonts w:eastAsia="Times New Roman" w:cs="Tahoma"/>
          <w:szCs w:val="20"/>
          <w:lang w:eastAsia="cs-CZ"/>
        </w:rPr>
        <w:t xml:space="preserve"> a parcelní číslo 1371/ o výměře cca 5000 m</w:t>
      </w:r>
      <w:r w:rsidRPr="00456192">
        <w:rPr>
          <w:rFonts w:eastAsia="Times New Roman" w:cs="Tahoma"/>
          <w:szCs w:val="20"/>
          <w:vertAlign w:val="superscript"/>
          <w:lang w:eastAsia="cs-CZ"/>
        </w:rPr>
        <w:t>2</w:t>
      </w:r>
      <w:r w:rsidRPr="00456192">
        <w:rPr>
          <w:rFonts w:eastAsia="Times New Roman" w:cs="Tahoma"/>
          <w:szCs w:val="20"/>
          <w:lang w:eastAsia="cs-CZ"/>
        </w:rPr>
        <w:t>, vše v katastrálním území Strakonice, za účelem zařízení staveniště v souvislosti s realizací stavby „Oprava komunikace Zvolenská, Strakonice.“</w:t>
      </w:r>
      <w:r w:rsidRPr="00456192">
        <w:rPr>
          <w:rFonts w:eastAsia="MS Mincho" w:cs="Times New Roman"/>
          <w:szCs w:val="24"/>
          <w:lang w:eastAsia="cs-CZ"/>
        </w:rPr>
        <w:t xml:space="preserve">  </w:t>
      </w:r>
    </w:p>
    <w:p w14:paraId="284F0B9A" w14:textId="77777777" w:rsidR="00456192" w:rsidRPr="00456192" w:rsidRDefault="00456192" w:rsidP="00456192">
      <w:pPr>
        <w:spacing w:after="0"/>
        <w:rPr>
          <w:rFonts w:eastAsia="Times New Roman" w:cs="Tahoma"/>
          <w:szCs w:val="20"/>
          <w:lang w:eastAsia="cs-CZ"/>
        </w:rPr>
      </w:pPr>
    </w:p>
    <w:p w14:paraId="6F4E0E51" w14:textId="77777777" w:rsidR="00A31C64" w:rsidRPr="00456192" w:rsidRDefault="00A31C64" w:rsidP="00456192">
      <w:pPr>
        <w:spacing w:after="0"/>
        <w:rPr>
          <w:rFonts w:eastAsia="Times New Roman" w:cs="Tahoma"/>
          <w:szCs w:val="20"/>
          <w:lang w:eastAsia="cs-CZ"/>
        </w:rPr>
      </w:pPr>
    </w:p>
    <w:p w14:paraId="2A50556D" w14:textId="02600C71" w:rsidR="00BB018D" w:rsidRDefault="00BB018D" w:rsidP="001D3E50">
      <w:pPr>
        <w:pStyle w:val="Nadpis2"/>
      </w:pPr>
      <w:r>
        <w:t xml:space="preserve">3) </w:t>
      </w:r>
      <w:r w:rsidR="005F1933">
        <w:t>R</w:t>
      </w:r>
      <w:r>
        <w:t xml:space="preserve">evokace usnesení č. 3033/2022 ze dne </w:t>
      </w:r>
      <w:proofErr w:type="gramStart"/>
      <w:r>
        <w:t>01.06.2022</w:t>
      </w:r>
      <w:proofErr w:type="gramEnd"/>
      <w:r>
        <w:t xml:space="preserve"> </w:t>
      </w:r>
    </w:p>
    <w:p w14:paraId="716F4D5B" w14:textId="1F49B333" w:rsidR="00BB018D" w:rsidRDefault="00BB018D" w:rsidP="00BB018D">
      <w:pPr>
        <w:spacing w:after="0"/>
        <w:rPr>
          <w:rFonts w:cs="Tahoma"/>
          <w:i/>
          <w:szCs w:val="20"/>
        </w:rPr>
      </w:pPr>
    </w:p>
    <w:p w14:paraId="55F79A89" w14:textId="77777777" w:rsidR="00BB018D" w:rsidRPr="000B5F07" w:rsidRDefault="00BB018D" w:rsidP="00BB018D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0B5F07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16F06AFD" w14:textId="77777777" w:rsidR="00BB018D" w:rsidRPr="000B5F07" w:rsidRDefault="00BB018D" w:rsidP="00BB018D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0B5F07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204530FF" w14:textId="77777777" w:rsidR="00BB018D" w:rsidRPr="000B5F07" w:rsidRDefault="00BB018D" w:rsidP="00BB018D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B5F07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Revokuje</w:t>
      </w:r>
    </w:p>
    <w:p w14:paraId="19756C3F" w14:textId="09C1CBA0" w:rsidR="00BB018D" w:rsidRDefault="00BB018D" w:rsidP="00A31C64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iCs/>
          <w:color w:val="000000" w:themeColor="text1"/>
          <w:szCs w:val="20"/>
        </w:rPr>
        <w:t xml:space="preserve">usnesení Rady města Strakonice č. 3033/2022 ze dne </w:t>
      </w:r>
      <w:proofErr w:type="gramStart"/>
      <w:r>
        <w:rPr>
          <w:rFonts w:cs="Tahoma"/>
          <w:iCs/>
          <w:color w:val="000000" w:themeColor="text1"/>
          <w:szCs w:val="20"/>
        </w:rPr>
        <w:t>01.06.2022</w:t>
      </w:r>
      <w:proofErr w:type="gramEnd"/>
      <w:r>
        <w:rPr>
          <w:rFonts w:cs="Tahoma"/>
          <w:iCs/>
          <w:color w:val="000000" w:themeColor="text1"/>
          <w:szCs w:val="20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</w:p>
    <w:p w14:paraId="6AAD7391" w14:textId="7323720B" w:rsidR="001D3E50" w:rsidRDefault="001D3E50" w:rsidP="00A31C64">
      <w:pPr>
        <w:spacing w:after="0"/>
        <w:rPr>
          <w:rFonts w:cs="Tahoma"/>
          <w:szCs w:val="20"/>
        </w:rPr>
      </w:pPr>
    </w:p>
    <w:p w14:paraId="48C67CE9" w14:textId="305C27A1" w:rsidR="00BB018D" w:rsidRPr="001176D1" w:rsidRDefault="00BB018D" w:rsidP="00A31C64">
      <w:pPr>
        <w:spacing w:after="0"/>
        <w:rPr>
          <w:lang w:eastAsia="cs-CZ"/>
        </w:rPr>
      </w:pPr>
    </w:p>
    <w:p w14:paraId="2E7E2D12" w14:textId="4320CC48" w:rsidR="001D3E50" w:rsidRDefault="001D3E50" w:rsidP="00A31C64">
      <w:pPr>
        <w:pStyle w:val="Nadpis2"/>
      </w:pPr>
      <w:r>
        <w:t>4) Žádost o umístění výdejního boxu u prodejny Billa</w:t>
      </w:r>
    </w:p>
    <w:p w14:paraId="2E9F16EF" w14:textId="244BE989" w:rsidR="001D3E50" w:rsidRDefault="001D3E50" w:rsidP="001D3E50">
      <w:pPr>
        <w:spacing w:after="0"/>
        <w:rPr>
          <w:rFonts w:cs="Tahoma"/>
          <w:i/>
          <w:szCs w:val="20"/>
        </w:rPr>
      </w:pPr>
    </w:p>
    <w:p w14:paraId="283F9974" w14:textId="77777777" w:rsidR="001D3E50" w:rsidRPr="000B5F07" w:rsidRDefault="001D3E50" w:rsidP="001D3E50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0B5F07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2AEECDAF" w14:textId="77777777" w:rsidR="001D3E50" w:rsidRPr="000B5F07" w:rsidRDefault="001D3E50" w:rsidP="001D3E50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0B5F07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2655848C" w14:textId="458375C9" w:rsidR="001D3E50" w:rsidRPr="000B5F07" w:rsidRDefault="001D3E50" w:rsidP="001D3E5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B5F07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Souhlasí</w:t>
      </w:r>
    </w:p>
    <w:p w14:paraId="5E4B90BE" w14:textId="497186D5" w:rsidR="001D3E50" w:rsidRDefault="001D3E50" w:rsidP="001D3E50">
      <w:pPr>
        <w:spacing w:after="0"/>
      </w:pPr>
      <w:r>
        <w:t xml:space="preserve">umístění výdejního boxu na části pozemku </w:t>
      </w:r>
      <w:proofErr w:type="spellStart"/>
      <w:r>
        <w:t>parc</w:t>
      </w:r>
      <w:proofErr w:type="spellEnd"/>
      <w:r>
        <w:t>.</w:t>
      </w:r>
      <w:r w:rsidR="00E207D9">
        <w:t xml:space="preserve"> </w:t>
      </w:r>
      <w:proofErr w:type="gramStart"/>
      <w:r>
        <w:t>č.</w:t>
      </w:r>
      <w:proofErr w:type="gramEnd"/>
      <w:r>
        <w:t xml:space="preserve"> 1066/111 v kat. území Strakonice, tak jak je zakreslen v příloze </w:t>
      </w:r>
      <w:r w:rsidR="00E207D9">
        <w:t xml:space="preserve">č. 2 </w:t>
      </w:r>
      <w:r>
        <w:t>materiálu</w:t>
      </w:r>
      <w:r w:rsidR="00E207D9">
        <w:t xml:space="preserve"> k projednání RM č. 69/1</w:t>
      </w:r>
      <w:r>
        <w:t xml:space="preserve">. </w:t>
      </w:r>
    </w:p>
    <w:p w14:paraId="31B5ECC7" w14:textId="138EBF65" w:rsidR="001D3E50" w:rsidRPr="000B5F07" w:rsidRDefault="00052B27" w:rsidP="001D3E5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1D3E50" w:rsidRPr="000B5F07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1D3E50">
        <w:rPr>
          <w:rFonts w:eastAsia="Times New Roman" w:cs="Tahoma"/>
          <w:b/>
          <w:bCs/>
          <w:szCs w:val="20"/>
          <w:u w:val="single"/>
          <w:lang w:eastAsia="cs-CZ"/>
        </w:rPr>
        <w:t>Souhlasí</w:t>
      </w:r>
    </w:p>
    <w:p w14:paraId="18CE4A58" w14:textId="66EE6222" w:rsidR="00052B27" w:rsidRDefault="001D3E50" w:rsidP="001D3E50">
      <w:pPr>
        <w:spacing w:after="0"/>
      </w:pPr>
      <w:r>
        <w:t xml:space="preserve">aby společnost ČSAD STTRANS a.s., které svědčí k pozemku </w:t>
      </w:r>
      <w:proofErr w:type="spellStart"/>
      <w:r>
        <w:t>parc</w:t>
      </w:r>
      <w:proofErr w:type="spellEnd"/>
      <w:r>
        <w:t>.</w:t>
      </w:r>
      <w:r w:rsidR="00E207D9">
        <w:t xml:space="preserve"> </w:t>
      </w:r>
      <w:proofErr w:type="gramStart"/>
      <w:r>
        <w:t>č.</w:t>
      </w:r>
      <w:proofErr w:type="gramEnd"/>
      <w:r>
        <w:t xml:space="preserve"> 1066/111 v kat. území Strakonice právo stavby, uzavřela se společností Billa, spol</w:t>
      </w:r>
      <w:r w:rsidR="00504B39">
        <w:t>.</w:t>
      </w:r>
      <w:r>
        <w:t xml:space="preserve"> s r.o., IČ 00685976,  Říčany u Prahy, Modletice 67, PSČ 251 01, nájemní smlouvu za účelem umístění a provozování výdejního boxu</w:t>
      </w:r>
      <w:r w:rsidR="00504B39">
        <w:t xml:space="preserve"> na předmětném pozemku</w:t>
      </w:r>
      <w:r>
        <w:t xml:space="preserve">. </w:t>
      </w:r>
      <w:r w:rsidR="00052B27">
        <w:t xml:space="preserve">Nájemní smlouva bude uzavřena na dobu maximálně 10 let.  </w:t>
      </w:r>
      <w:r w:rsidR="00504B39">
        <w:t>P</w:t>
      </w:r>
      <w:r w:rsidR="00052B27">
        <w:t xml:space="preserve">řípadné prodloužení musí být </w:t>
      </w:r>
      <w:r w:rsidR="00504B39">
        <w:t xml:space="preserve">městu </w:t>
      </w:r>
      <w:r w:rsidR="00052B27">
        <w:t>předloženo ke schválení. P</w:t>
      </w:r>
      <w:r>
        <w:t>ozemek bude po ukončení nájmu uveden do původního, případně náležitého stavu. Do pozemku nebudou bez předchozího souhlasu města ukládány žádné inžený</w:t>
      </w:r>
      <w:r w:rsidR="00052B27">
        <w:t>r</w:t>
      </w:r>
      <w:r>
        <w:t xml:space="preserve">ské sítě. </w:t>
      </w:r>
      <w:r>
        <w:lastRenderedPageBreak/>
        <w:t xml:space="preserve">Odsouhlasení technického řešení, zejména ukotvení boxu na patky, tak aby volně odtékala srážková voda do odvodňovacího žlabu, je ponecháno na společnosti ĆSAD STTRANS a.s.   </w:t>
      </w:r>
    </w:p>
    <w:p w14:paraId="501BED37" w14:textId="77777777" w:rsidR="00052B27" w:rsidRDefault="00052B27" w:rsidP="001D3E50">
      <w:pPr>
        <w:spacing w:after="0"/>
      </w:pPr>
    </w:p>
    <w:p w14:paraId="50357474" w14:textId="77777777" w:rsidR="00BB018D" w:rsidRPr="00BB018D" w:rsidRDefault="00BB018D" w:rsidP="00BB018D">
      <w:pPr>
        <w:rPr>
          <w:lang w:eastAsia="cs-CZ"/>
        </w:rPr>
      </w:pPr>
      <w:bookmarkStart w:id="0" w:name="_GoBack"/>
      <w:bookmarkEnd w:id="0"/>
    </w:p>
    <w:sectPr w:rsidR="00BB018D" w:rsidRPr="00BB01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0131E82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933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B1857"/>
    <w:multiLevelType w:val="hybridMultilevel"/>
    <w:tmpl w:val="D194AB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0EFE"/>
    <w:rsid w:val="00024FC9"/>
    <w:rsid w:val="0004695E"/>
    <w:rsid w:val="00052B27"/>
    <w:rsid w:val="000532CF"/>
    <w:rsid w:val="000A0692"/>
    <w:rsid w:val="000E680A"/>
    <w:rsid w:val="00113212"/>
    <w:rsid w:val="00126321"/>
    <w:rsid w:val="00136491"/>
    <w:rsid w:val="001643D8"/>
    <w:rsid w:val="001866C2"/>
    <w:rsid w:val="0019158D"/>
    <w:rsid w:val="00192198"/>
    <w:rsid w:val="001B2C8F"/>
    <w:rsid w:val="001D3E50"/>
    <w:rsid w:val="0022101C"/>
    <w:rsid w:val="00222CFA"/>
    <w:rsid w:val="00266953"/>
    <w:rsid w:val="00277CC0"/>
    <w:rsid w:val="00281B03"/>
    <w:rsid w:val="00284134"/>
    <w:rsid w:val="00290A57"/>
    <w:rsid w:val="002D77F3"/>
    <w:rsid w:val="003141F7"/>
    <w:rsid w:val="00331991"/>
    <w:rsid w:val="00371A7D"/>
    <w:rsid w:val="00376340"/>
    <w:rsid w:val="003B474B"/>
    <w:rsid w:val="003D2EDC"/>
    <w:rsid w:val="003E2EC6"/>
    <w:rsid w:val="003E4417"/>
    <w:rsid w:val="00401BD5"/>
    <w:rsid w:val="004250A9"/>
    <w:rsid w:val="00444B71"/>
    <w:rsid w:val="00450322"/>
    <w:rsid w:val="00456192"/>
    <w:rsid w:val="0046663B"/>
    <w:rsid w:val="004A093D"/>
    <w:rsid w:val="004A12F9"/>
    <w:rsid w:val="004C3E46"/>
    <w:rsid w:val="00504B39"/>
    <w:rsid w:val="00531AF0"/>
    <w:rsid w:val="00567D96"/>
    <w:rsid w:val="00587199"/>
    <w:rsid w:val="005907FA"/>
    <w:rsid w:val="00594549"/>
    <w:rsid w:val="005E2D5C"/>
    <w:rsid w:val="005F1933"/>
    <w:rsid w:val="005F3FF8"/>
    <w:rsid w:val="005F7D7A"/>
    <w:rsid w:val="006368F5"/>
    <w:rsid w:val="006A0EAF"/>
    <w:rsid w:val="006B58A6"/>
    <w:rsid w:val="006C4D75"/>
    <w:rsid w:val="006F7EC9"/>
    <w:rsid w:val="00727CFF"/>
    <w:rsid w:val="00756AE2"/>
    <w:rsid w:val="00777AC4"/>
    <w:rsid w:val="007838C1"/>
    <w:rsid w:val="00791520"/>
    <w:rsid w:val="007A7CB1"/>
    <w:rsid w:val="007D0569"/>
    <w:rsid w:val="007E6428"/>
    <w:rsid w:val="00837E2B"/>
    <w:rsid w:val="00850D60"/>
    <w:rsid w:val="008B744F"/>
    <w:rsid w:val="008C369F"/>
    <w:rsid w:val="008F0671"/>
    <w:rsid w:val="008F0FB9"/>
    <w:rsid w:val="008F20A8"/>
    <w:rsid w:val="00916A17"/>
    <w:rsid w:val="00980C2E"/>
    <w:rsid w:val="009829C8"/>
    <w:rsid w:val="00986406"/>
    <w:rsid w:val="009E1032"/>
    <w:rsid w:val="009E7306"/>
    <w:rsid w:val="009F303C"/>
    <w:rsid w:val="009F37CC"/>
    <w:rsid w:val="009F6DE4"/>
    <w:rsid w:val="009F7C8F"/>
    <w:rsid w:val="00A00BEB"/>
    <w:rsid w:val="00A10E89"/>
    <w:rsid w:val="00A31C64"/>
    <w:rsid w:val="00A34485"/>
    <w:rsid w:val="00A459BD"/>
    <w:rsid w:val="00A72E9B"/>
    <w:rsid w:val="00A84E94"/>
    <w:rsid w:val="00B1260B"/>
    <w:rsid w:val="00B2284D"/>
    <w:rsid w:val="00B54C11"/>
    <w:rsid w:val="00B64DCE"/>
    <w:rsid w:val="00B91CD9"/>
    <w:rsid w:val="00BB018D"/>
    <w:rsid w:val="00BB09B1"/>
    <w:rsid w:val="00BF2CC7"/>
    <w:rsid w:val="00C61822"/>
    <w:rsid w:val="00C66D80"/>
    <w:rsid w:val="00C82254"/>
    <w:rsid w:val="00CF197A"/>
    <w:rsid w:val="00D1632D"/>
    <w:rsid w:val="00D27DD2"/>
    <w:rsid w:val="00D54DF8"/>
    <w:rsid w:val="00D767F5"/>
    <w:rsid w:val="00D84046"/>
    <w:rsid w:val="00D9460B"/>
    <w:rsid w:val="00D95449"/>
    <w:rsid w:val="00DA42B0"/>
    <w:rsid w:val="00DF1051"/>
    <w:rsid w:val="00E207D9"/>
    <w:rsid w:val="00E322B8"/>
    <w:rsid w:val="00E6416E"/>
    <w:rsid w:val="00E734B2"/>
    <w:rsid w:val="00E7487C"/>
    <w:rsid w:val="00E803F5"/>
    <w:rsid w:val="00E814F3"/>
    <w:rsid w:val="00EC1F56"/>
    <w:rsid w:val="00EC4C57"/>
    <w:rsid w:val="00F03256"/>
    <w:rsid w:val="00F21A6A"/>
    <w:rsid w:val="00F67DA5"/>
    <w:rsid w:val="00F80644"/>
    <w:rsid w:val="00F90D1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63DF4-8AFC-40BE-BBC6-469DB54A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2022-06-08T06:40:00Z</dcterms:created>
  <dcterms:modified xsi:type="dcterms:W3CDTF">2022-06-08T12:19:00Z</dcterms:modified>
</cp:coreProperties>
</file>