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983" w:rsidRPr="002A5983" w:rsidRDefault="002A5983" w:rsidP="002A59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A5983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2A5983" w:rsidRDefault="009E06FB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2A5983">
        <w:rPr>
          <w:rFonts w:ascii="Tahoma" w:hAnsi="Tahoma" w:cs="Tahoma"/>
          <w:sz w:val="24"/>
          <w:szCs w:val="24"/>
        </w:rPr>
        <w:t>1</w:t>
      </w:r>
      <w:r w:rsidR="008D4649" w:rsidRPr="002A5983">
        <w:rPr>
          <w:rFonts w:ascii="Tahoma" w:hAnsi="Tahoma" w:cs="Tahoma"/>
          <w:sz w:val="24"/>
          <w:szCs w:val="24"/>
        </w:rPr>
        <w:t>8</w:t>
      </w:r>
      <w:r w:rsidR="00D93D24" w:rsidRPr="002A5983">
        <w:rPr>
          <w:rFonts w:ascii="Tahoma" w:hAnsi="Tahoma" w:cs="Tahoma"/>
          <w:sz w:val="24"/>
          <w:szCs w:val="24"/>
        </w:rPr>
        <w:t>/</w:t>
      </w:r>
      <w:r w:rsidR="00124687" w:rsidRPr="002A5983">
        <w:rPr>
          <w:rFonts w:ascii="Tahoma" w:hAnsi="Tahoma" w:cs="Tahoma"/>
          <w:sz w:val="24"/>
          <w:szCs w:val="24"/>
        </w:rPr>
        <w:t>0</w:t>
      </w:r>
      <w:r w:rsidR="00E9242C" w:rsidRPr="002A5983">
        <w:rPr>
          <w:rFonts w:ascii="Tahoma" w:hAnsi="Tahoma" w:cs="Tahoma"/>
          <w:sz w:val="24"/>
          <w:szCs w:val="24"/>
        </w:rPr>
        <w:t>6</w:t>
      </w:r>
      <w:r w:rsidR="00064609" w:rsidRPr="002A5983">
        <w:rPr>
          <w:rFonts w:ascii="Tahoma" w:hAnsi="Tahoma" w:cs="Tahoma"/>
          <w:sz w:val="24"/>
          <w:szCs w:val="24"/>
        </w:rPr>
        <w:t xml:space="preserve"> </w:t>
      </w:r>
      <w:r w:rsidR="00D93D24" w:rsidRPr="002A5983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</w:t>
      </w:r>
      <w:r w:rsidR="00C910BE">
        <w:rPr>
          <w:rFonts w:ascii="Tahoma" w:hAnsi="Tahoma" w:cs="Tahoma"/>
          <w:sz w:val="20"/>
          <w:szCs w:val="20"/>
          <w:u w:val="single"/>
        </w:rPr>
        <w:t>á</w:t>
      </w:r>
      <w:r>
        <w:rPr>
          <w:rFonts w:ascii="Tahoma" w:hAnsi="Tahoma" w:cs="Tahoma"/>
          <w:sz w:val="20"/>
          <w:szCs w:val="20"/>
          <w:u w:val="single"/>
        </w:rPr>
        <w:t xml:space="preserve"> opatření č. </w:t>
      </w:r>
      <w:r w:rsidR="008D4649">
        <w:rPr>
          <w:rFonts w:ascii="Tahoma" w:hAnsi="Tahoma" w:cs="Tahoma"/>
          <w:sz w:val="20"/>
          <w:szCs w:val="20"/>
          <w:u w:val="single"/>
        </w:rPr>
        <w:t xml:space="preserve">41 </w:t>
      </w:r>
      <w:r w:rsidR="00063E6E">
        <w:rPr>
          <w:rFonts w:ascii="Tahoma" w:hAnsi="Tahoma" w:cs="Tahoma"/>
          <w:sz w:val="20"/>
          <w:szCs w:val="20"/>
          <w:u w:val="single"/>
        </w:rPr>
        <w:t>–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F52431">
        <w:rPr>
          <w:rFonts w:ascii="Tahoma" w:hAnsi="Tahoma" w:cs="Tahoma"/>
          <w:sz w:val="20"/>
          <w:szCs w:val="20"/>
          <w:u w:val="single"/>
        </w:rPr>
        <w:t>4</w:t>
      </w:r>
      <w:r w:rsidR="00603F0F">
        <w:rPr>
          <w:rFonts w:ascii="Tahoma" w:hAnsi="Tahoma" w:cs="Tahoma"/>
          <w:sz w:val="20"/>
          <w:szCs w:val="20"/>
          <w:u w:val="single"/>
        </w:rPr>
        <w:t>5</w:t>
      </w:r>
    </w:p>
    <w:p w:rsidR="00730898" w:rsidRDefault="008D4649" w:rsidP="00730898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Strakonická pouť 2020 – dodatek č. 2 k nájemní smlouvě</w:t>
      </w:r>
    </w:p>
    <w:p w:rsidR="00603F0F" w:rsidRPr="00826AF2" w:rsidRDefault="00603F0F" w:rsidP="00730898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ZŠ F. L. Čelakovského – použití IF na pořízení DNM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8D4649">
        <w:rPr>
          <w:rFonts w:ascii="Tahoma" w:hAnsi="Tahoma" w:cs="Tahoma"/>
          <w:sz w:val="20"/>
          <w:szCs w:val="20"/>
        </w:rPr>
        <w:t>2. září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>Ing. Jitka Šochmanová</w:t>
      </w:r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7001AA" w:rsidRDefault="007001AA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</w:p>
    <w:p w:rsidR="004C14B1" w:rsidRPr="00BF543D" w:rsidRDefault="00064609" w:rsidP="002F2AF9">
      <w:pPr>
        <w:pStyle w:val="Nadpis2"/>
        <w:rPr>
          <w:rFonts w:ascii="Tahoma" w:hAnsi="Tahoma" w:cs="Tahoma"/>
          <w:sz w:val="24"/>
        </w:rPr>
      </w:pPr>
      <w:r w:rsidRPr="00BF543D">
        <w:rPr>
          <w:rFonts w:ascii="Tahoma" w:hAnsi="Tahoma" w:cs="Tahoma"/>
          <w:sz w:val="24"/>
        </w:rPr>
        <w:t>1</w:t>
      </w:r>
      <w:r w:rsidR="002F2AF9" w:rsidRPr="00BF543D">
        <w:rPr>
          <w:rFonts w:ascii="Tahoma" w:hAnsi="Tahoma" w:cs="Tahoma"/>
          <w:sz w:val="24"/>
        </w:rPr>
        <w:t>) Rozpočtov</w:t>
      </w:r>
      <w:r w:rsidR="00BB32C6" w:rsidRPr="00BF543D">
        <w:rPr>
          <w:rFonts w:ascii="Tahoma" w:hAnsi="Tahoma" w:cs="Tahoma"/>
          <w:sz w:val="24"/>
        </w:rPr>
        <w:t>á</w:t>
      </w:r>
      <w:r w:rsidR="002F2AF9" w:rsidRPr="00BF543D">
        <w:rPr>
          <w:rFonts w:ascii="Tahoma" w:hAnsi="Tahoma" w:cs="Tahoma"/>
          <w:sz w:val="24"/>
        </w:rPr>
        <w:t xml:space="preserve"> opatření č</w:t>
      </w:r>
      <w:r w:rsidRPr="00BF543D">
        <w:rPr>
          <w:rFonts w:ascii="Tahoma" w:hAnsi="Tahoma" w:cs="Tahoma"/>
          <w:sz w:val="24"/>
        </w:rPr>
        <w:t>.</w:t>
      </w:r>
      <w:r w:rsidR="002F2AF9" w:rsidRPr="00BF543D">
        <w:rPr>
          <w:rFonts w:ascii="Tahoma" w:hAnsi="Tahoma" w:cs="Tahoma"/>
          <w:sz w:val="24"/>
        </w:rPr>
        <w:t xml:space="preserve"> </w:t>
      </w:r>
      <w:r w:rsidR="008D4649">
        <w:rPr>
          <w:rFonts w:ascii="Tahoma" w:hAnsi="Tahoma" w:cs="Tahoma"/>
          <w:sz w:val="24"/>
        </w:rPr>
        <w:t>41</w:t>
      </w:r>
      <w:r w:rsidR="00E9242C" w:rsidRPr="00BF543D">
        <w:rPr>
          <w:rFonts w:ascii="Tahoma" w:hAnsi="Tahoma" w:cs="Tahoma"/>
          <w:sz w:val="24"/>
        </w:rPr>
        <w:t xml:space="preserve"> </w:t>
      </w:r>
      <w:r w:rsidR="00BB32C6" w:rsidRPr="00BF543D">
        <w:rPr>
          <w:rFonts w:ascii="Tahoma" w:hAnsi="Tahoma" w:cs="Tahoma"/>
          <w:sz w:val="24"/>
        </w:rPr>
        <w:t xml:space="preserve">- </w:t>
      </w:r>
      <w:r w:rsidR="007F50B1" w:rsidRPr="00BF543D">
        <w:rPr>
          <w:rFonts w:ascii="Tahoma" w:hAnsi="Tahoma" w:cs="Tahoma"/>
          <w:sz w:val="24"/>
        </w:rPr>
        <w:t>4</w:t>
      </w:r>
      <w:r w:rsidR="00603F0F">
        <w:rPr>
          <w:rFonts w:ascii="Tahoma" w:hAnsi="Tahoma" w:cs="Tahoma"/>
          <w:sz w:val="24"/>
        </w:rPr>
        <w:t>5</w:t>
      </w:r>
    </w:p>
    <w:p w:rsidR="004C14B1" w:rsidRPr="004C14B1" w:rsidRDefault="004C14B1" w:rsidP="004C14B1"/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16B6E" w:rsidRPr="00CC04E1" w:rsidRDefault="00616B6E" w:rsidP="00616B6E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8D4649">
        <w:rPr>
          <w:rFonts w:ascii="Tahoma" w:hAnsi="Tahoma" w:cs="Tahoma"/>
          <w:sz w:val="20"/>
          <w:szCs w:val="20"/>
        </w:rPr>
        <w:t>41</w:t>
      </w:r>
      <w:r w:rsidR="005C3AE9"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8D4649">
        <w:rPr>
          <w:rFonts w:ascii="Tahoma" w:hAnsi="Tahoma" w:cs="Tahoma"/>
          <w:sz w:val="20"/>
          <w:szCs w:val="20"/>
        </w:rPr>
        <w:t>230</w:t>
      </w:r>
      <w:r>
        <w:rPr>
          <w:rFonts w:ascii="Tahoma" w:hAnsi="Tahoma" w:cs="Tahoma"/>
          <w:sz w:val="20"/>
          <w:szCs w:val="20"/>
        </w:rPr>
        <w:t>.</w:t>
      </w:r>
      <w:r w:rsidR="008D4649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0,00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616B6E" w:rsidRDefault="008D4649" w:rsidP="00616B6E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rozvoje na dofinancování Změny č. 5 Územního plánu Strakonice</w:t>
      </w:r>
      <w:r w:rsidR="00CD292E">
        <w:rPr>
          <w:rFonts w:ascii="Tahoma" w:hAnsi="Tahoma" w:cs="Tahoma"/>
          <w:sz w:val="20"/>
          <w:szCs w:val="20"/>
        </w:rPr>
        <w:t xml:space="preserve"> (viz. </w:t>
      </w:r>
      <w:proofErr w:type="gramStart"/>
      <w:r w:rsidR="00CD292E">
        <w:rPr>
          <w:rFonts w:ascii="Tahoma" w:hAnsi="Tahoma" w:cs="Tahoma"/>
          <w:sz w:val="20"/>
          <w:szCs w:val="20"/>
        </w:rPr>
        <w:t>materiál</w:t>
      </w:r>
      <w:proofErr w:type="gramEnd"/>
      <w:r w:rsidR="00CD292E">
        <w:rPr>
          <w:rFonts w:ascii="Tahoma" w:hAnsi="Tahoma" w:cs="Tahoma"/>
          <w:sz w:val="20"/>
          <w:szCs w:val="20"/>
        </w:rPr>
        <w:t xml:space="preserve"> odboru rozvoje</w:t>
      </w:r>
      <w:r w:rsidR="00F52431">
        <w:rPr>
          <w:rFonts w:ascii="Tahoma" w:hAnsi="Tahoma" w:cs="Tahoma"/>
          <w:sz w:val="20"/>
          <w:szCs w:val="20"/>
        </w:rPr>
        <w:t xml:space="preserve"> č. 18/2, bod 1</w:t>
      </w:r>
      <w:r w:rsidR="00CD292E">
        <w:rPr>
          <w:rFonts w:ascii="Tahoma" w:hAnsi="Tahoma" w:cs="Tahoma"/>
          <w:sz w:val="20"/>
          <w:szCs w:val="20"/>
        </w:rPr>
        <w:t>). 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16B6E" w:rsidTr="00A558D9">
        <w:tc>
          <w:tcPr>
            <w:tcW w:w="2265" w:type="dxa"/>
          </w:tcPr>
          <w:p w:rsidR="00616B6E" w:rsidRDefault="00616B6E" w:rsidP="00BB32C6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16B6E" w:rsidRDefault="00CD292E" w:rsidP="00A558D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16B6E" w:rsidRDefault="00CD292E" w:rsidP="00BB25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290 – 3635 -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616B6E" w:rsidRDefault="00616B6E" w:rsidP="00C16F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292E" w:rsidTr="00A558D9">
        <w:tc>
          <w:tcPr>
            <w:tcW w:w="2265" w:type="dxa"/>
          </w:tcPr>
          <w:p w:rsidR="00CD292E" w:rsidRDefault="00CD292E" w:rsidP="00CD29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D292E" w:rsidRDefault="00CD292E" w:rsidP="00CD292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CD292E" w:rsidRDefault="00CD292E" w:rsidP="00CD2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CD292E" w:rsidRDefault="00CD292E" w:rsidP="00CD2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E83" w:rsidRDefault="00582E83" w:rsidP="003737AE">
      <w:pPr>
        <w:pStyle w:val="Zkladntext2"/>
        <w:rPr>
          <w:rFonts w:ascii="Tahoma" w:hAnsi="Tahoma" w:cs="Tahoma"/>
          <w:sz w:val="20"/>
          <w:szCs w:val="20"/>
        </w:rPr>
      </w:pPr>
    </w:p>
    <w:p w:rsidR="000F4EEC" w:rsidRPr="00CC04E1" w:rsidRDefault="000F4EEC" w:rsidP="000F4EEC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CD292E">
        <w:rPr>
          <w:rFonts w:ascii="Tahoma" w:hAnsi="Tahoma" w:cs="Tahoma"/>
          <w:sz w:val="20"/>
          <w:szCs w:val="20"/>
        </w:rPr>
        <w:t>4</w:t>
      </w:r>
      <w:r w:rsidR="0009554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</w:t>
      </w:r>
      <w:r w:rsidR="005C3AE9"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BB2501">
        <w:rPr>
          <w:rFonts w:ascii="Tahoma" w:hAnsi="Tahoma" w:cs="Tahoma"/>
          <w:sz w:val="20"/>
          <w:szCs w:val="20"/>
        </w:rPr>
        <w:t>1</w:t>
      </w:r>
      <w:r w:rsidR="00CD292E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.</w:t>
      </w:r>
      <w:r w:rsidR="00CD292E">
        <w:rPr>
          <w:rFonts w:ascii="Tahoma" w:hAnsi="Tahoma" w:cs="Tahoma"/>
          <w:sz w:val="20"/>
          <w:szCs w:val="20"/>
        </w:rPr>
        <w:t>200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0F4EEC" w:rsidRDefault="00CD292E" w:rsidP="000F4EE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městské policie na opravu kamerového bodu č. 10</w:t>
      </w:r>
      <w:r w:rsidR="0009554E">
        <w:rPr>
          <w:rFonts w:ascii="Tahoma" w:hAnsi="Tahoma" w:cs="Tahoma"/>
          <w:sz w:val="20"/>
          <w:szCs w:val="20"/>
        </w:rPr>
        <w:t>, poničeného přepětím při živelné události a na opravu osobního automobilu Škoda Fabia 2C0 63 62.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552"/>
        <w:gridCol w:w="1984"/>
      </w:tblGrid>
      <w:tr w:rsidR="000F4EEC" w:rsidTr="00A558D9">
        <w:tc>
          <w:tcPr>
            <w:tcW w:w="2265" w:type="dxa"/>
          </w:tcPr>
          <w:p w:rsidR="000F4EEC" w:rsidRDefault="000F4EEC" w:rsidP="00A558D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0F4EEC" w:rsidRDefault="0009554E" w:rsidP="00C155C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F4EEC" w:rsidRDefault="0009554E" w:rsidP="00E145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0F4EEC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  <w:tc>
          <w:tcPr>
            <w:tcW w:w="1984" w:type="dxa"/>
          </w:tcPr>
          <w:p w:rsidR="000F4EEC" w:rsidRDefault="000F4EEC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EEC" w:rsidTr="00A558D9">
        <w:tc>
          <w:tcPr>
            <w:tcW w:w="2265" w:type="dxa"/>
          </w:tcPr>
          <w:p w:rsidR="000F4EEC" w:rsidRDefault="000F4EEC" w:rsidP="00A558D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4EEC" w:rsidRDefault="0009554E" w:rsidP="0009554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0F4EEC" w:rsidRDefault="0009554E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3639 - 2322</w:t>
            </w:r>
          </w:p>
        </w:tc>
        <w:tc>
          <w:tcPr>
            <w:tcW w:w="1984" w:type="dxa"/>
          </w:tcPr>
          <w:p w:rsidR="000F4EEC" w:rsidRDefault="000F4EEC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145AE" w:rsidRDefault="00E145AE" w:rsidP="000F4EEC"/>
    <w:p w:rsidR="00603F0F" w:rsidRPr="00015785" w:rsidRDefault="00603F0F" w:rsidP="00603F0F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43</w:t>
      </w:r>
      <w:r w:rsidRPr="00015785">
        <w:rPr>
          <w:rFonts w:ascii="Tahoma" w:hAnsi="Tahoma" w:cs="Tahoma"/>
          <w:sz w:val="20"/>
          <w:szCs w:val="20"/>
        </w:rPr>
        <w:t xml:space="preserve">  ve výši  1.</w:t>
      </w:r>
      <w:r>
        <w:rPr>
          <w:rFonts w:ascii="Tahoma" w:hAnsi="Tahoma" w:cs="Tahoma"/>
          <w:sz w:val="20"/>
          <w:szCs w:val="20"/>
        </w:rPr>
        <w:t>382</w:t>
      </w:r>
      <w:r w:rsidRPr="0001578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147,07 </w:t>
      </w:r>
      <w:r w:rsidRPr="00015785">
        <w:rPr>
          <w:rFonts w:ascii="Tahoma" w:hAnsi="Tahoma" w:cs="Tahoma"/>
          <w:sz w:val="20"/>
          <w:szCs w:val="20"/>
        </w:rPr>
        <w:t xml:space="preserve"> Kč</w:t>
      </w:r>
    </w:p>
    <w:p w:rsidR="00603F0F" w:rsidRDefault="00603F0F" w:rsidP="00603F0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</w:t>
      </w:r>
      <w:r w:rsidRPr="00015785">
        <w:rPr>
          <w:rFonts w:ascii="Tahoma" w:hAnsi="Tahoma" w:cs="Tahoma"/>
          <w:sz w:val="20"/>
          <w:szCs w:val="20"/>
        </w:rPr>
        <w:t>einvestiční účelová dotace</w:t>
      </w:r>
      <w:r>
        <w:rPr>
          <w:rFonts w:ascii="Tahoma" w:hAnsi="Tahoma" w:cs="Tahoma"/>
          <w:sz w:val="20"/>
          <w:szCs w:val="20"/>
        </w:rPr>
        <w:t xml:space="preserve"> z ESF</w:t>
      </w:r>
      <w:r w:rsidRPr="000157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 w:rsidR="00732120">
        <w:rPr>
          <w:rFonts w:ascii="Tahoma" w:hAnsi="Tahoma" w:cs="Tahoma"/>
          <w:sz w:val="20"/>
          <w:szCs w:val="20"/>
        </w:rPr>
        <w:t xml:space="preserve"> příspěvkovou organizaci 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 na realizaci projektu „Podpora sociálních služeb – azylové domy“ za období </w:t>
      </w:r>
      <w:proofErr w:type="gramStart"/>
      <w:r>
        <w:rPr>
          <w:rFonts w:ascii="Tahoma" w:hAnsi="Tahoma" w:cs="Tahoma"/>
          <w:sz w:val="20"/>
          <w:szCs w:val="20"/>
        </w:rPr>
        <w:t>01.01.2020</w:t>
      </w:r>
      <w:proofErr w:type="gramEnd"/>
      <w:r>
        <w:rPr>
          <w:rFonts w:ascii="Tahoma" w:hAnsi="Tahoma" w:cs="Tahoma"/>
          <w:sz w:val="20"/>
          <w:szCs w:val="20"/>
        </w:rPr>
        <w:t xml:space="preserve"> – 30.06.2020.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03F0F" w:rsidTr="00485156">
        <w:tc>
          <w:tcPr>
            <w:tcW w:w="2265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03F0F" w:rsidRDefault="00603F0F" w:rsidP="0048515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603F0F" w:rsidRDefault="00603F0F" w:rsidP="004851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1230 - 0000 – 4122</w:t>
            </w:r>
          </w:p>
        </w:tc>
        <w:tc>
          <w:tcPr>
            <w:tcW w:w="1984" w:type="dxa"/>
          </w:tcPr>
          <w:p w:rsidR="00603F0F" w:rsidRDefault="00603F0F" w:rsidP="004851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13 013, 106</w:t>
            </w:r>
          </w:p>
        </w:tc>
      </w:tr>
      <w:tr w:rsidR="00603F0F" w:rsidTr="00485156">
        <w:tc>
          <w:tcPr>
            <w:tcW w:w="2265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03F0F" w:rsidRDefault="00603F0F" w:rsidP="004851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1230 – 4374 - 5336      </w:t>
            </w:r>
          </w:p>
        </w:tc>
        <w:tc>
          <w:tcPr>
            <w:tcW w:w="1984" w:type="dxa"/>
          </w:tcPr>
          <w:p w:rsidR="00603F0F" w:rsidRDefault="00603F0F" w:rsidP="004851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13 013, 106 </w:t>
            </w:r>
          </w:p>
        </w:tc>
      </w:tr>
    </w:tbl>
    <w:p w:rsidR="00603F0F" w:rsidRDefault="00603F0F" w:rsidP="000F4EEC"/>
    <w:p w:rsidR="00BE6916" w:rsidRPr="00BE6916" w:rsidRDefault="00BE6916" w:rsidP="00BE6916">
      <w:pPr>
        <w:pStyle w:val="Nadpis3"/>
        <w:rPr>
          <w:rFonts w:ascii="Tahoma" w:hAnsi="Tahoma" w:cs="Tahoma"/>
          <w:sz w:val="20"/>
          <w:szCs w:val="20"/>
        </w:rPr>
      </w:pPr>
      <w:r w:rsidRPr="00BE6916">
        <w:rPr>
          <w:rFonts w:ascii="Tahoma" w:hAnsi="Tahoma" w:cs="Tahoma"/>
          <w:sz w:val="20"/>
          <w:szCs w:val="20"/>
        </w:rPr>
        <w:t>II. Doporučuje ZM schválit</w:t>
      </w:r>
    </w:p>
    <w:p w:rsidR="00A51D22" w:rsidRPr="00CC04E1" w:rsidRDefault="00A51D22" w:rsidP="00A51D22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BE6916">
        <w:rPr>
          <w:rFonts w:ascii="Tahoma" w:hAnsi="Tahoma" w:cs="Tahoma"/>
          <w:sz w:val="20"/>
          <w:szCs w:val="20"/>
        </w:rPr>
        <w:t>4</w:t>
      </w:r>
      <w:r w:rsidR="00603F0F">
        <w:rPr>
          <w:rFonts w:ascii="Tahoma" w:hAnsi="Tahoma" w:cs="Tahoma"/>
          <w:sz w:val="20"/>
          <w:szCs w:val="20"/>
        </w:rPr>
        <w:t>4</w:t>
      </w:r>
      <w:r w:rsidR="005C3AE9"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BE6916">
        <w:rPr>
          <w:rFonts w:ascii="Tahoma" w:hAnsi="Tahoma" w:cs="Tahoma"/>
          <w:sz w:val="20"/>
          <w:szCs w:val="20"/>
        </w:rPr>
        <w:t>938.</w:t>
      </w:r>
      <w:r w:rsidR="00E145AE">
        <w:rPr>
          <w:rFonts w:ascii="Tahoma" w:hAnsi="Tahoma" w:cs="Tahoma"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>,0</w:t>
      </w:r>
      <w:r w:rsidR="00E145AE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3D11E4" w:rsidRDefault="00E145AE" w:rsidP="00A51D2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BE6916">
        <w:rPr>
          <w:rFonts w:ascii="Tahoma" w:hAnsi="Tahoma" w:cs="Tahoma"/>
          <w:sz w:val="20"/>
          <w:szCs w:val="20"/>
        </w:rPr>
        <w:t xml:space="preserve">avýšení rozpočtu městské policie na položce platy (700.000,00 Kč) a s tím související povinné pojistné (238.000,00 Kč). K navýšení dochází zejména z důvodu přechodu strážníků do vyšší platové třídy </w:t>
      </w:r>
      <w:r w:rsidR="00F52431">
        <w:rPr>
          <w:rFonts w:ascii="Tahoma" w:hAnsi="Tahoma" w:cs="Tahoma"/>
          <w:sz w:val="20"/>
          <w:szCs w:val="20"/>
        </w:rPr>
        <w:t xml:space="preserve">od </w:t>
      </w:r>
      <w:proofErr w:type="gramStart"/>
      <w:r w:rsidR="00F52431">
        <w:rPr>
          <w:rFonts w:ascii="Tahoma" w:hAnsi="Tahoma" w:cs="Tahoma"/>
          <w:sz w:val="20"/>
          <w:szCs w:val="20"/>
        </w:rPr>
        <w:t>01.01.2020</w:t>
      </w:r>
      <w:proofErr w:type="gramEnd"/>
      <w:r w:rsidR="00F52431">
        <w:rPr>
          <w:rFonts w:ascii="Tahoma" w:hAnsi="Tahoma" w:cs="Tahoma"/>
          <w:sz w:val="20"/>
          <w:szCs w:val="20"/>
        </w:rPr>
        <w:t xml:space="preserve"> a </w:t>
      </w:r>
      <w:r w:rsidR="00BE6916">
        <w:rPr>
          <w:rFonts w:ascii="Tahoma" w:hAnsi="Tahoma" w:cs="Tahoma"/>
          <w:sz w:val="20"/>
          <w:szCs w:val="20"/>
        </w:rPr>
        <w:t>vyplacení</w:t>
      </w:r>
      <w:r w:rsidR="00BF0252">
        <w:rPr>
          <w:rFonts w:ascii="Tahoma" w:hAnsi="Tahoma" w:cs="Tahoma"/>
          <w:sz w:val="20"/>
          <w:szCs w:val="20"/>
        </w:rPr>
        <w:t xml:space="preserve"> mimořádných</w:t>
      </w:r>
      <w:r w:rsidR="00F52431">
        <w:rPr>
          <w:rFonts w:ascii="Tahoma" w:hAnsi="Tahoma" w:cs="Tahoma"/>
          <w:sz w:val="20"/>
          <w:szCs w:val="20"/>
        </w:rPr>
        <w:t xml:space="preserve"> </w:t>
      </w:r>
      <w:r w:rsidR="00BE6916">
        <w:rPr>
          <w:rFonts w:ascii="Tahoma" w:hAnsi="Tahoma" w:cs="Tahoma"/>
          <w:sz w:val="20"/>
          <w:szCs w:val="20"/>
        </w:rPr>
        <w:t>odměn v souvislosti s</w:t>
      </w:r>
      <w:r w:rsidR="003D11E4">
        <w:rPr>
          <w:rFonts w:ascii="Tahoma" w:hAnsi="Tahoma" w:cs="Tahoma"/>
          <w:sz w:val="20"/>
          <w:szCs w:val="20"/>
        </w:rPr>
        <w:t> </w:t>
      </w:r>
      <w:r w:rsidR="00BF0252">
        <w:rPr>
          <w:rFonts w:ascii="Tahoma" w:hAnsi="Tahoma" w:cs="Tahoma"/>
          <w:sz w:val="20"/>
          <w:szCs w:val="20"/>
        </w:rPr>
        <w:t>krizovými</w:t>
      </w:r>
      <w:r w:rsidR="003D11E4">
        <w:rPr>
          <w:rFonts w:ascii="Tahoma" w:hAnsi="Tahoma" w:cs="Tahoma"/>
          <w:sz w:val="20"/>
          <w:szCs w:val="20"/>
        </w:rPr>
        <w:t xml:space="preserve"> opatřeními v souvislosti s šířením nákazy COVID-19. Rozpočtové opatření bude kryto prostředky minulých let.</w:t>
      </w:r>
      <w:r w:rsidR="00BF0252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279"/>
        <w:gridCol w:w="2977"/>
        <w:gridCol w:w="1843"/>
      </w:tblGrid>
      <w:tr w:rsidR="00A51D22" w:rsidTr="00222009">
        <w:tc>
          <w:tcPr>
            <w:tcW w:w="2265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A51D22" w:rsidRDefault="003D11E4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977" w:type="dxa"/>
          </w:tcPr>
          <w:p w:rsidR="00A51D22" w:rsidRDefault="00F52431" w:rsidP="00F5243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A51D2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5011</w:t>
            </w:r>
          </w:p>
        </w:tc>
        <w:tc>
          <w:tcPr>
            <w:tcW w:w="1843" w:type="dxa"/>
          </w:tcPr>
          <w:p w:rsidR="00A51D22" w:rsidRDefault="00F52431" w:rsidP="005C3A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700.000,00</w:t>
            </w:r>
          </w:p>
        </w:tc>
      </w:tr>
      <w:tr w:rsidR="003D11E4" w:rsidTr="00222009">
        <w:tc>
          <w:tcPr>
            <w:tcW w:w="2265" w:type="dxa"/>
          </w:tcPr>
          <w:p w:rsidR="003D11E4" w:rsidRDefault="003D11E4" w:rsidP="002220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3D11E4" w:rsidRDefault="003D11E4" w:rsidP="00E145A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977" w:type="dxa"/>
          </w:tcPr>
          <w:p w:rsidR="003D11E4" w:rsidRDefault="00F52431" w:rsidP="005C3A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 – 5xxx</w:t>
            </w:r>
          </w:p>
        </w:tc>
        <w:tc>
          <w:tcPr>
            <w:tcW w:w="1843" w:type="dxa"/>
          </w:tcPr>
          <w:p w:rsidR="003D11E4" w:rsidRDefault="00F52431" w:rsidP="005C3AE9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238.000,00</w:t>
            </w:r>
          </w:p>
        </w:tc>
      </w:tr>
      <w:tr w:rsidR="003D11E4" w:rsidTr="00222009">
        <w:tc>
          <w:tcPr>
            <w:tcW w:w="2265" w:type="dxa"/>
          </w:tcPr>
          <w:p w:rsidR="003D11E4" w:rsidRDefault="003D11E4" w:rsidP="003D11E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3D11E4" w:rsidRDefault="003D11E4" w:rsidP="003D11E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977" w:type="dxa"/>
          </w:tcPr>
          <w:p w:rsidR="003D11E4" w:rsidRDefault="003D11E4" w:rsidP="003D11E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843" w:type="dxa"/>
          </w:tcPr>
          <w:p w:rsidR="003D11E4" w:rsidRPr="00907039" w:rsidRDefault="00F52431" w:rsidP="00F52431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938.000,00</w:t>
            </w:r>
          </w:p>
        </w:tc>
      </w:tr>
    </w:tbl>
    <w:p w:rsidR="005D3907" w:rsidRDefault="005D3907" w:rsidP="000F4EEC"/>
    <w:p w:rsidR="005C3AE9" w:rsidRPr="00CC04E1" w:rsidRDefault="005C3AE9" w:rsidP="005C3AE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F52431">
        <w:rPr>
          <w:rFonts w:ascii="Tahoma" w:hAnsi="Tahoma" w:cs="Tahoma"/>
          <w:sz w:val="20"/>
          <w:szCs w:val="20"/>
        </w:rPr>
        <w:t>4</w:t>
      </w:r>
      <w:r w:rsidR="00603F0F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BF0252">
        <w:rPr>
          <w:rFonts w:ascii="Tahoma" w:hAnsi="Tahoma" w:cs="Tahoma"/>
          <w:sz w:val="20"/>
          <w:szCs w:val="20"/>
        </w:rPr>
        <w:t>2</w:t>
      </w:r>
      <w:r w:rsidR="006E761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</w:t>
      </w:r>
      <w:r w:rsidR="006E761E">
        <w:rPr>
          <w:rFonts w:ascii="Tahoma" w:hAnsi="Tahoma" w:cs="Tahoma"/>
          <w:sz w:val="20"/>
          <w:szCs w:val="20"/>
        </w:rPr>
        <w:t>718</w:t>
      </w:r>
      <w:r w:rsidR="00BF0252">
        <w:rPr>
          <w:rFonts w:ascii="Tahoma" w:hAnsi="Tahoma" w:cs="Tahoma"/>
          <w:sz w:val="20"/>
          <w:szCs w:val="20"/>
        </w:rPr>
        <w:t>.000,</w:t>
      </w:r>
      <w:r>
        <w:rPr>
          <w:rFonts w:ascii="Tahoma" w:hAnsi="Tahoma" w:cs="Tahoma"/>
          <w:sz w:val="20"/>
          <w:szCs w:val="20"/>
        </w:rPr>
        <w:t xml:space="preserve">00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515121" w:rsidRDefault="008019C6" w:rsidP="009033C0">
      <w:pPr>
        <w:jc w:val="both"/>
        <w:rPr>
          <w:rFonts w:ascii="Tahoma" w:hAnsi="Tahoma" w:cs="Tahoma"/>
          <w:sz w:val="20"/>
          <w:szCs w:val="20"/>
        </w:rPr>
      </w:pPr>
      <w:r w:rsidRPr="00F049FE">
        <w:rPr>
          <w:rFonts w:ascii="Tahoma" w:hAnsi="Tahoma" w:cs="Tahoma"/>
          <w:sz w:val="20"/>
          <w:szCs w:val="20"/>
        </w:rPr>
        <w:t xml:space="preserve">Nutná úprava rozpočtu města z důvodu ekonomické krize způsobené pandemií </w:t>
      </w:r>
      <w:proofErr w:type="spellStart"/>
      <w:r w:rsidRPr="00F049FE">
        <w:rPr>
          <w:rFonts w:ascii="Tahoma" w:hAnsi="Tahoma" w:cs="Tahoma"/>
          <w:sz w:val="20"/>
          <w:szCs w:val="20"/>
        </w:rPr>
        <w:t>koronaviru</w:t>
      </w:r>
      <w:proofErr w:type="spellEnd"/>
      <w:r w:rsidRPr="00F049FE">
        <w:rPr>
          <w:rFonts w:ascii="Tahoma" w:hAnsi="Tahoma" w:cs="Tahoma"/>
          <w:sz w:val="20"/>
          <w:szCs w:val="20"/>
        </w:rPr>
        <w:t xml:space="preserve">. </w:t>
      </w:r>
    </w:p>
    <w:p w:rsidR="00F8576C" w:rsidRDefault="00F049FE" w:rsidP="009033C0">
      <w:pPr>
        <w:jc w:val="both"/>
        <w:rPr>
          <w:rFonts w:ascii="Tahoma" w:hAnsi="Tahoma" w:cs="Tahoma"/>
          <w:sz w:val="20"/>
          <w:szCs w:val="20"/>
        </w:rPr>
      </w:pPr>
      <w:r w:rsidRPr="00F049FE">
        <w:rPr>
          <w:rFonts w:ascii="Tahoma" w:hAnsi="Tahoma" w:cs="Tahoma"/>
          <w:sz w:val="20"/>
          <w:szCs w:val="20"/>
        </w:rPr>
        <w:t xml:space="preserve">V rámci rozpočtu příjmů dochází k poklesu daňových příjmů města, </w:t>
      </w:r>
      <w:r w:rsidR="00F42E77">
        <w:rPr>
          <w:rFonts w:ascii="Tahoma" w:hAnsi="Tahoma" w:cs="Tahoma"/>
          <w:sz w:val="20"/>
          <w:szCs w:val="20"/>
        </w:rPr>
        <w:t xml:space="preserve">jejichž výše je pro rok 2020 po odhadovaném snížení stanovena </w:t>
      </w:r>
      <w:r w:rsidRPr="00F049FE">
        <w:rPr>
          <w:rFonts w:ascii="Tahoma" w:hAnsi="Tahoma" w:cs="Tahoma"/>
          <w:sz w:val="20"/>
          <w:szCs w:val="20"/>
        </w:rPr>
        <w:t>na cca 287</w:t>
      </w:r>
      <w:r w:rsidR="00CB23C8">
        <w:rPr>
          <w:rFonts w:ascii="Tahoma" w:hAnsi="Tahoma" w:cs="Tahoma"/>
          <w:sz w:val="20"/>
          <w:szCs w:val="20"/>
        </w:rPr>
        <w:t>,4</w:t>
      </w:r>
      <w:r w:rsidRPr="00F049FE">
        <w:rPr>
          <w:rFonts w:ascii="Tahoma" w:hAnsi="Tahoma" w:cs="Tahoma"/>
          <w:sz w:val="20"/>
          <w:szCs w:val="20"/>
        </w:rPr>
        <w:t xml:space="preserve"> mil. Kč</w:t>
      </w:r>
      <w:r w:rsidR="00F42E77">
        <w:rPr>
          <w:rFonts w:ascii="Tahoma" w:hAnsi="Tahoma" w:cs="Tahoma"/>
          <w:sz w:val="20"/>
          <w:szCs w:val="20"/>
        </w:rPr>
        <w:t xml:space="preserve">. </w:t>
      </w:r>
      <w:r w:rsidR="00CB23C8">
        <w:rPr>
          <w:rFonts w:ascii="Tahoma" w:hAnsi="Tahoma" w:cs="Tahoma"/>
          <w:sz w:val="20"/>
          <w:szCs w:val="20"/>
        </w:rPr>
        <w:t>R</w:t>
      </w:r>
      <w:r w:rsidRPr="00F049FE">
        <w:rPr>
          <w:rFonts w:ascii="Tahoma" w:hAnsi="Tahoma" w:cs="Tahoma"/>
          <w:sz w:val="20"/>
          <w:szCs w:val="20"/>
        </w:rPr>
        <w:t>ozpočet</w:t>
      </w:r>
      <w:r w:rsidR="00F42E77">
        <w:rPr>
          <w:rFonts w:ascii="Tahoma" w:hAnsi="Tahoma" w:cs="Tahoma"/>
          <w:sz w:val="20"/>
          <w:szCs w:val="20"/>
        </w:rPr>
        <w:t xml:space="preserve"> daňových příjmů pro rok 2020 </w:t>
      </w:r>
      <w:r w:rsidR="00CB23C8">
        <w:rPr>
          <w:rFonts w:ascii="Tahoma" w:hAnsi="Tahoma" w:cs="Tahoma"/>
          <w:sz w:val="20"/>
          <w:szCs w:val="20"/>
        </w:rPr>
        <w:t>byl schválen ve výši</w:t>
      </w:r>
      <w:r w:rsidRPr="00F049FE">
        <w:rPr>
          <w:rFonts w:ascii="Tahoma" w:hAnsi="Tahoma" w:cs="Tahoma"/>
          <w:sz w:val="20"/>
          <w:szCs w:val="20"/>
        </w:rPr>
        <w:t xml:space="preserve"> 336 mil. Kč, </w:t>
      </w:r>
      <w:r w:rsidR="00F42E77">
        <w:rPr>
          <w:rFonts w:ascii="Tahoma" w:hAnsi="Tahoma" w:cs="Tahoma"/>
          <w:sz w:val="20"/>
          <w:szCs w:val="20"/>
        </w:rPr>
        <w:t>upravený rozpočet</w:t>
      </w:r>
      <w:r w:rsidR="00CB23C8">
        <w:rPr>
          <w:rFonts w:ascii="Tahoma" w:hAnsi="Tahoma" w:cs="Tahoma"/>
          <w:sz w:val="20"/>
          <w:szCs w:val="20"/>
        </w:rPr>
        <w:t xml:space="preserve"> činí</w:t>
      </w:r>
      <w:r w:rsidRPr="00F049FE">
        <w:rPr>
          <w:rFonts w:ascii="Tahoma" w:hAnsi="Tahoma" w:cs="Tahoma"/>
          <w:sz w:val="20"/>
          <w:szCs w:val="20"/>
        </w:rPr>
        <w:t xml:space="preserve"> </w:t>
      </w:r>
      <w:r w:rsidR="00F42E77">
        <w:rPr>
          <w:rFonts w:ascii="Tahoma" w:hAnsi="Tahoma" w:cs="Tahoma"/>
          <w:sz w:val="20"/>
          <w:szCs w:val="20"/>
        </w:rPr>
        <w:t>307,7</w:t>
      </w:r>
      <w:r w:rsidRPr="00F049FE">
        <w:rPr>
          <w:rFonts w:ascii="Tahoma" w:hAnsi="Tahoma" w:cs="Tahoma"/>
          <w:sz w:val="20"/>
          <w:szCs w:val="20"/>
        </w:rPr>
        <w:t xml:space="preserve"> mil. Kč</w:t>
      </w:r>
      <w:r w:rsidR="00F42E77">
        <w:rPr>
          <w:rFonts w:ascii="Tahoma" w:hAnsi="Tahoma" w:cs="Tahoma"/>
          <w:sz w:val="20"/>
          <w:szCs w:val="20"/>
        </w:rPr>
        <w:t xml:space="preserve"> (RO č. 40 – snížení daňových příjmů o částku přijatého příspěvku ze státního rozpočtu</w:t>
      </w:r>
      <w:r w:rsidRPr="00F049FE">
        <w:rPr>
          <w:rFonts w:ascii="Tahoma" w:hAnsi="Tahoma" w:cs="Tahoma"/>
          <w:sz w:val="20"/>
          <w:szCs w:val="20"/>
        </w:rPr>
        <w:t xml:space="preserve"> </w:t>
      </w:r>
      <w:r w:rsidR="00F42E77">
        <w:rPr>
          <w:rFonts w:ascii="Tahoma" w:hAnsi="Tahoma" w:cs="Tahoma"/>
          <w:sz w:val="20"/>
          <w:szCs w:val="20"/>
        </w:rPr>
        <w:t>ke zmírnění dopadu poklesu daňových příjmů ve výši 28,3 mil. Kč).</w:t>
      </w:r>
      <w:r w:rsidR="009033C0">
        <w:rPr>
          <w:rFonts w:ascii="Tahoma" w:hAnsi="Tahoma" w:cs="Tahoma"/>
          <w:sz w:val="20"/>
          <w:szCs w:val="20"/>
        </w:rPr>
        <w:t xml:space="preserve"> T</w:t>
      </w:r>
      <w:r>
        <w:rPr>
          <w:rFonts w:ascii="Tahoma" w:hAnsi="Tahoma" w:cs="Tahoma"/>
          <w:sz w:val="20"/>
          <w:szCs w:val="20"/>
        </w:rPr>
        <w:t>ímto rozpočtovým opatřením je nutné snížit daňové příjmy o dalších cca 2</w:t>
      </w:r>
      <w:r w:rsidR="00CB23C8">
        <w:rPr>
          <w:rFonts w:ascii="Tahoma" w:hAnsi="Tahoma" w:cs="Tahoma"/>
          <w:sz w:val="20"/>
          <w:szCs w:val="20"/>
        </w:rPr>
        <w:t>0,3</w:t>
      </w:r>
      <w:r>
        <w:rPr>
          <w:rFonts w:ascii="Tahoma" w:hAnsi="Tahoma" w:cs="Tahoma"/>
          <w:sz w:val="20"/>
          <w:szCs w:val="20"/>
        </w:rPr>
        <w:t xml:space="preserve"> mil. Kč</w:t>
      </w:r>
      <w:r w:rsidR="009033C0">
        <w:rPr>
          <w:rFonts w:ascii="Tahoma" w:hAnsi="Tahoma" w:cs="Tahoma"/>
          <w:sz w:val="20"/>
          <w:szCs w:val="20"/>
        </w:rPr>
        <w:t>. V</w:t>
      </w:r>
      <w:r>
        <w:rPr>
          <w:rFonts w:ascii="Tahoma" w:hAnsi="Tahoma" w:cs="Tahoma"/>
          <w:sz w:val="20"/>
          <w:szCs w:val="20"/>
        </w:rPr>
        <w:t xml:space="preserve"> souvislosti s vyhlášeným nouzovým stavem rozhodla </w:t>
      </w:r>
      <w:r w:rsidR="009033C0">
        <w:rPr>
          <w:rFonts w:ascii="Tahoma" w:hAnsi="Tahoma" w:cs="Tahoma"/>
          <w:sz w:val="20"/>
          <w:szCs w:val="20"/>
        </w:rPr>
        <w:t xml:space="preserve">rada města </w:t>
      </w:r>
      <w:r>
        <w:rPr>
          <w:rFonts w:ascii="Tahoma" w:hAnsi="Tahoma" w:cs="Tahoma"/>
          <w:sz w:val="20"/>
          <w:szCs w:val="20"/>
        </w:rPr>
        <w:t xml:space="preserve">o snížení nájmů, což se opět projeví ve snížení příjmů </w:t>
      </w:r>
      <w:r w:rsidR="009033C0">
        <w:rPr>
          <w:rFonts w:ascii="Tahoma" w:hAnsi="Tahoma" w:cs="Tahoma"/>
          <w:sz w:val="20"/>
          <w:szCs w:val="20"/>
        </w:rPr>
        <w:t>města.</w:t>
      </w:r>
    </w:p>
    <w:p w:rsidR="009033C0" w:rsidRDefault="009033C0" w:rsidP="009033C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Výpadek příjmů bude v celé výši kryt snížením výdajů, a to úsporou běžných provozních výdajů z důvodu neuskutečnění akcí  v souvislosti s pandemií </w:t>
      </w:r>
      <w:proofErr w:type="spellStart"/>
      <w:r>
        <w:rPr>
          <w:rFonts w:ascii="Tahoma" w:hAnsi="Tahoma" w:cs="Tahoma"/>
          <w:sz w:val="20"/>
          <w:szCs w:val="20"/>
        </w:rPr>
        <w:t>koronaviru</w:t>
      </w:r>
      <w:proofErr w:type="spellEnd"/>
      <w:r>
        <w:rPr>
          <w:rFonts w:ascii="Tahoma" w:hAnsi="Tahoma" w:cs="Tahoma"/>
          <w:sz w:val="20"/>
          <w:szCs w:val="20"/>
        </w:rPr>
        <w:t xml:space="preserve"> (v roce 2020 neproběhne protidrogový vlak, pro rok 2020 nebudou vypláceny prostředky </w:t>
      </w:r>
      <w:r w:rsidRPr="00F049FE">
        <w:rPr>
          <w:rFonts w:ascii="Tahoma" w:hAnsi="Tahoma" w:cs="Tahoma"/>
          <w:sz w:val="20"/>
          <w:szCs w:val="20"/>
        </w:rPr>
        <w:t>na podporu tělovýchovy, sportu a ostatních volnočasových aktivit dospělých</w:t>
      </w:r>
      <w:r>
        <w:rPr>
          <w:rFonts w:ascii="Tahoma" w:hAnsi="Tahoma" w:cs="Tahoma"/>
          <w:sz w:val="20"/>
          <w:szCs w:val="20"/>
        </w:rPr>
        <w:t>, mimořádná podpora dětí</w:t>
      </w:r>
      <w:r w:rsidR="0051512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ani prostředky z</w:t>
      </w:r>
      <w:r>
        <w:rPr>
          <w:rFonts w:ascii="Tahoma" w:hAnsi="Tahoma" w:cs="Tahoma"/>
          <w:sz w:val="20"/>
        </w:rPr>
        <w:t xml:space="preserve"> opatření 3 – Podpora provozu, oprav a údržby sportovišť ve vlastnictví žadatele</w:t>
      </w:r>
      <w:r w:rsidR="00515121">
        <w:rPr>
          <w:rFonts w:ascii="Tahoma" w:hAnsi="Tahoma" w:cs="Tahoma"/>
          <w:sz w:val="20"/>
        </w:rPr>
        <w:t xml:space="preserve">, dále nebudou vyplacena prospěchová stipendia, pro rok 2020 byl zrušen MDF a další kulturní akce, apod.) nebo úsporou výdajů investičních z akcí, které nebudou v roce 2020 realizovány a mohou být zařazeny do rozpočtu příštích let. </w:t>
      </w:r>
    </w:p>
    <w:p w:rsidR="00515121" w:rsidRDefault="00515121" w:rsidP="009033C0">
      <w:pPr>
        <w:jc w:val="both"/>
        <w:rPr>
          <w:rFonts w:ascii="Tahoma" w:hAnsi="Tahoma" w:cs="Tahoma"/>
          <w:sz w:val="20"/>
        </w:rPr>
      </w:pPr>
    </w:p>
    <w:p w:rsidR="00515121" w:rsidRDefault="00515121" w:rsidP="009033C0">
      <w:pPr>
        <w:jc w:val="both"/>
        <w:rPr>
          <w:rFonts w:ascii="Tahoma" w:hAnsi="Tahoma" w:cs="Tahoma"/>
          <w:sz w:val="20"/>
        </w:rPr>
      </w:pPr>
    </w:p>
    <w:tbl>
      <w:tblPr>
        <w:tblW w:w="94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1587"/>
        <w:gridCol w:w="1559"/>
        <w:gridCol w:w="587"/>
        <w:gridCol w:w="960"/>
        <w:gridCol w:w="960"/>
      </w:tblGrid>
      <w:tr w:rsidR="00A86F5F" w:rsidTr="00F42E77">
        <w:trPr>
          <w:trHeight w:val="315"/>
        </w:trPr>
        <w:tc>
          <w:tcPr>
            <w:tcW w:w="38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87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příjmy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výdaje</w:t>
            </w:r>
          </w:p>
        </w:tc>
        <w:tc>
          <w:tcPr>
            <w:tcW w:w="587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položka </w:t>
            </w:r>
          </w:p>
        </w:tc>
      </w:tr>
      <w:tr w:rsidR="00A86F5F" w:rsidTr="00F42E77">
        <w:trPr>
          <w:trHeight w:val="300"/>
        </w:trPr>
        <w:tc>
          <w:tcPr>
            <w:tcW w:w="3800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sdílené daňové příjmy </w:t>
            </w:r>
          </w:p>
        </w:tc>
        <w:tc>
          <w:tcPr>
            <w:tcW w:w="1587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-20 3</w:t>
            </w:r>
            <w:r w:rsidR="0073212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0 000,00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1xxx</w:t>
            </w:r>
          </w:p>
        </w:tc>
      </w:tr>
      <w:tr w:rsidR="00A86F5F" w:rsidTr="00515121">
        <w:trPr>
          <w:trHeight w:val="6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poplatek z veřejného prostranství (pouť - stánky)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1343</w:t>
            </w:r>
          </w:p>
        </w:tc>
      </w:tr>
      <w:tr w:rsidR="00A86F5F" w:rsidTr="00515121">
        <w:trPr>
          <w:trHeight w:val="6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příjmy z pronájmu pozemků, včetně pouti 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</w:t>
            </w:r>
            <w:r w:rsidR="00732120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2131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příjmy z pronájmu nebytových prostor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-80</w:t>
            </w:r>
            <w:r w:rsidR="0073212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2132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MP - protidrogový vlak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-108 000,00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5169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ŽP - úprava zeleně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5xxx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ŽP - hydrologicko-krajinářská studie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-500 000,00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5166</w:t>
            </w:r>
          </w:p>
        </w:tc>
      </w:tr>
      <w:tr w:rsidR="00A86F5F" w:rsidTr="00732120">
        <w:trPr>
          <w:trHeight w:val="838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podpora tělovýchovy, sportu a ostatních volnočasových aktivit dospělých pro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-1 500 000,00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mimořádná podpora dětí v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-1 100 000,00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A86F5F" w:rsidTr="00732120">
        <w:trPr>
          <w:trHeight w:val="528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ŠCR - podpora tělovýchovy, sportu a ostatních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volnočas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aktivit pro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-250 000,00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prospěchová stipendia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-60 000,00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5494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Maj - komunikace Volyňská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-9 000 000,00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6121</w:t>
            </w:r>
          </w:p>
        </w:tc>
      </w:tr>
      <w:tr w:rsidR="00A86F5F" w:rsidTr="00515121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Nabytí majetkových podílů  - TST, a.s. 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-6 000 000,00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6201</w:t>
            </w:r>
          </w:p>
        </w:tc>
      </w:tr>
      <w:tr w:rsidR="00A86F5F" w:rsidTr="00515121">
        <w:trPr>
          <w:trHeight w:val="315"/>
        </w:trPr>
        <w:tc>
          <w:tcPr>
            <w:tcW w:w="380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MěKS - příspěvek na provoz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-4 000 000,00</w:t>
            </w:r>
          </w:p>
        </w:tc>
        <w:tc>
          <w:tcPr>
            <w:tcW w:w="5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3319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5331</w:t>
            </w:r>
          </w:p>
        </w:tc>
      </w:tr>
      <w:tr w:rsidR="00A86F5F" w:rsidTr="00515121">
        <w:trPr>
          <w:trHeight w:val="330"/>
        </w:trPr>
        <w:tc>
          <w:tcPr>
            <w:tcW w:w="3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-22 718 000,00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-22 718 000,00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5F" w:rsidRDefault="00A86F5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2A5983" w:rsidRDefault="002A5983" w:rsidP="004168E3">
      <w:pPr>
        <w:pStyle w:val="Nadpis2"/>
        <w:rPr>
          <w:rFonts w:ascii="Tahoma" w:hAnsi="Tahoma" w:cs="Tahoma"/>
          <w:sz w:val="24"/>
        </w:rPr>
      </w:pPr>
    </w:p>
    <w:p w:rsidR="00F8576C" w:rsidRDefault="004168E3" w:rsidP="004168E3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2) Str</w:t>
      </w:r>
      <w:r w:rsidR="00F8576C" w:rsidRPr="00F8576C">
        <w:rPr>
          <w:rFonts w:ascii="Tahoma" w:hAnsi="Tahoma" w:cs="Tahoma"/>
          <w:sz w:val="24"/>
        </w:rPr>
        <w:t>akonická pouť 2020 – dodatek č. 2 k nájemní smlouvě</w:t>
      </w:r>
    </w:p>
    <w:p w:rsidR="00F8576C" w:rsidRDefault="00F8576C" w:rsidP="00F8576C"/>
    <w:p w:rsidR="00BC08EE" w:rsidRPr="005E0400" w:rsidRDefault="00BC08EE" w:rsidP="00BC08E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C08EE" w:rsidRPr="009A53A9" w:rsidRDefault="00BC08EE" w:rsidP="00BC08EE">
      <w:pPr>
        <w:rPr>
          <w:rFonts w:ascii="Tahoma" w:hAnsi="Tahoma" w:cs="Tahoma"/>
          <w:sz w:val="20"/>
          <w:szCs w:val="20"/>
        </w:rPr>
      </w:pPr>
      <w:r w:rsidRPr="009A53A9">
        <w:rPr>
          <w:rFonts w:ascii="Tahoma" w:hAnsi="Tahoma" w:cs="Tahoma"/>
          <w:sz w:val="20"/>
          <w:szCs w:val="20"/>
        </w:rPr>
        <w:t>RM po projednání</w:t>
      </w:r>
    </w:p>
    <w:p w:rsidR="00BC08EE" w:rsidRPr="009A53A9" w:rsidRDefault="00BC08EE" w:rsidP="00BC08EE">
      <w:pPr>
        <w:rPr>
          <w:rFonts w:ascii="Tahoma" w:hAnsi="Tahoma" w:cs="Tahoma"/>
          <w:sz w:val="20"/>
          <w:szCs w:val="20"/>
        </w:rPr>
      </w:pPr>
    </w:p>
    <w:p w:rsidR="00BC08EE" w:rsidRPr="009A53A9" w:rsidRDefault="00BC08EE" w:rsidP="00BC08EE">
      <w:pPr>
        <w:pStyle w:val="Nadpis3"/>
        <w:rPr>
          <w:rFonts w:ascii="Tahoma" w:hAnsi="Tahoma" w:cs="Tahoma"/>
          <w:sz w:val="20"/>
          <w:szCs w:val="20"/>
        </w:rPr>
      </w:pPr>
      <w:r w:rsidRPr="009A53A9">
        <w:rPr>
          <w:rFonts w:ascii="Tahoma" w:hAnsi="Tahoma" w:cs="Tahoma"/>
          <w:sz w:val="20"/>
          <w:szCs w:val="20"/>
        </w:rPr>
        <w:t>I. Souhlasí</w:t>
      </w:r>
    </w:p>
    <w:p w:rsidR="00BC08EE" w:rsidRPr="009A53A9" w:rsidRDefault="00BC08EE" w:rsidP="00BC08EE">
      <w:pPr>
        <w:jc w:val="both"/>
        <w:rPr>
          <w:rFonts w:ascii="Tahoma" w:hAnsi="Tahoma" w:cs="Tahoma"/>
          <w:sz w:val="20"/>
          <w:szCs w:val="20"/>
        </w:rPr>
      </w:pPr>
      <w:r w:rsidRPr="009A53A9">
        <w:rPr>
          <w:rFonts w:ascii="Tahoma" w:hAnsi="Tahoma" w:cs="Tahoma"/>
          <w:sz w:val="20"/>
          <w:szCs w:val="20"/>
        </w:rPr>
        <w:t xml:space="preserve">s uzavřením dodatku č. </w:t>
      </w:r>
      <w:r w:rsidR="004168E3">
        <w:rPr>
          <w:rFonts w:ascii="Tahoma" w:hAnsi="Tahoma" w:cs="Tahoma"/>
          <w:sz w:val="20"/>
          <w:szCs w:val="20"/>
        </w:rPr>
        <w:t>2</w:t>
      </w:r>
      <w:r w:rsidRPr="009A53A9">
        <w:rPr>
          <w:rFonts w:ascii="Tahoma" w:hAnsi="Tahoma" w:cs="Tahoma"/>
          <w:sz w:val="20"/>
          <w:szCs w:val="20"/>
        </w:rPr>
        <w:t xml:space="preserve">  k nájemní smlouvě se smlouvou o podnájmu č. 2018 – 798 ze dne </w:t>
      </w:r>
      <w:proofErr w:type="gramStart"/>
      <w:r w:rsidRPr="009A53A9">
        <w:rPr>
          <w:rFonts w:ascii="Tahoma" w:hAnsi="Tahoma" w:cs="Tahoma"/>
          <w:sz w:val="20"/>
          <w:szCs w:val="20"/>
        </w:rPr>
        <w:t>30.11.2018</w:t>
      </w:r>
      <w:proofErr w:type="gramEnd"/>
      <w:r w:rsidRPr="009A53A9">
        <w:rPr>
          <w:rFonts w:ascii="Tahoma" w:hAnsi="Tahoma" w:cs="Tahoma"/>
          <w:sz w:val="20"/>
          <w:szCs w:val="20"/>
        </w:rPr>
        <w:t xml:space="preserve"> uzavřené mezi městem Strakonice jako pronajímatelem a panem </w:t>
      </w:r>
      <w:r w:rsidR="002A5983">
        <w:rPr>
          <w:rFonts w:ascii="Tahoma" w:hAnsi="Tahoma" w:cs="Tahoma"/>
          <w:sz w:val="20"/>
          <w:szCs w:val="20"/>
        </w:rPr>
        <w:t>XX</w:t>
      </w:r>
      <w:r w:rsidRPr="009A53A9">
        <w:rPr>
          <w:rFonts w:ascii="Tahoma" w:hAnsi="Tahoma" w:cs="Tahoma"/>
          <w:sz w:val="20"/>
          <w:szCs w:val="20"/>
        </w:rPr>
        <w:t xml:space="preserve"> jako nájemcem, jehož předmětem je úprava  čl. III. odst. 1 smlouvy tak, že nájemné v r. 2020 bude uhrazeno: 1. splátka ve výši 407 500 Kč nejpozději do </w:t>
      </w:r>
      <w:proofErr w:type="gramStart"/>
      <w:r w:rsidRPr="009A53A9">
        <w:rPr>
          <w:rFonts w:ascii="Tahoma" w:hAnsi="Tahoma" w:cs="Tahoma"/>
          <w:sz w:val="20"/>
          <w:szCs w:val="20"/>
        </w:rPr>
        <w:t>31.08.2020</w:t>
      </w:r>
      <w:proofErr w:type="gramEnd"/>
      <w:r w:rsidRPr="009A53A9">
        <w:rPr>
          <w:rFonts w:ascii="Tahoma" w:hAnsi="Tahoma" w:cs="Tahoma"/>
          <w:sz w:val="20"/>
          <w:szCs w:val="20"/>
        </w:rPr>
        <w:t xml:space="preserve"> a 2. splátka ve výši </w:t>
      </w:r>
      <w:r w:rsidR="004168E3">
        <w:rPr>
          <w:rFonts w:ascii="Tahoma" w:hAnsi="Tahoma" w:cs="Tahoma"/>
          <w:sz w:val="20"/>
          <w:szCs w:val="20"/>
        </w:rPr>
        <w:t>192</w:t>
      </w:r>
      <w:r w:rsidRPr="009A53A9">
        <w:rPr>
          <w:rFonts w:ascii="Tahoma" w:hAnsi="Tahoma" w:cs="Tahoma"/>
          <w:sz w:val="20"/>
          <w:szCs w:val="20"/>
        </w:rPr>
        <w:t> 500 Kč nejpozději do 30.09.2020.</w:t>
      </w:r>
    </w:p>
    <w:p w:rsidR="00BC08EE" w:rsidRPr="009A53A9" w:rsidRDefault="00BC08EE" w:rsidP="00BC08EE">
      <w:pPr>
        <w:jc w:val="both"/>
        <w:rPr>
          <w:rFonts w:ascii="Tahoma" w:hAnsi="Tahoma" w:cs="Tahoma"/>
          <w:sz w:val="20"/>
          <w:szCs w:val="20"/>
        </w:rPr>
      </w:pPr>
    </w:p>
    <w:p w:rsidR="00BC08EE" w:rsidRPr="009A53A9" w:rsidRDefault="00BC08EE" w:rsidP="00BC08EE">
      <w:pPr>
        <w:pStyle w:val="Nadpis3"/>
        <w:rPr>
          <w:rFonts w:ascii="Tahoma" w:hAnsi="Tahoma" w:cs="Tahoma"/>
          <w:sz w:val="20"/>
          <w:szCs w:val="20"/>
        </w:rPr>
      </w:pPr>
      <w:r w:rsidRPr="009A53A9">
        <w:rPr>
          <w:rFonts w:ascii="Tahoma" w:hAnsi="Tahoma" w:cs="Tahoma"/>
          <w:sz w:val="20"/>
          <w:szCs w:val="20"/>
        </w:rPr>
        <w:t>I</w:t>
      </w:r>
      <w:r w:rsidR="004168E3">
        <w:rPr>
          <w:rFonts w:ascii="Tahoma" w:hAnsi="Tahoma" w:cs="Tahoma"/>
          <w:sz w:val="20"/>
          <w:szCs w:val="20"/>
        </w:rPr>
        <w:t>I</w:t>
      </w:r>
      <w:r w:rsidRPr="009A53A9">
        <w:rPr>
          <w:rFonts w:ascii="Tahoma" w:hAnsi="Tahoma" w:cs="Tahoma"/>
          <w:sz w:val="20"/>
          <w:szCs w:val="20"/>
        </w:rPr>
        <w:t>. Pověřuje</w:t>
      </w:r>
    </w:p>
    <w:p w:rsidR="00BC08EE" w:rsidRDefault="00BC08EE" w:rsidP="00BC08EE">
      <w:pPr>
        <w:jc w:val="both"/>
        <w:rPr>
          <w:rFonts w:ascii="Tahoma" w:hAnsi="Tahoma" w:cs="Tahoma"/>
          <w:sz w:val="20"/>
          <w:szCs w:val="20"/>
        </w:rPr>
      </w:pPr>
      <w:r w:rsidRPr="009A53A9">
        <w:rPr>
          <w:rFonts w:ascii="Tahoma" w:hAnsi="Tahoma" w:cs="Tahoma"/>
          <w:sz w:val="20"/>
          <w:szCs w:val="20"/>
        </w:rPr>
        <w:t xml:space="preserve">starostu města podpisem dodatku č. </w:t>
      </w:r>
      <w:r w:rsidR="004168E3">
        <w:rPr>
          <w:rFonts w:ascii="Tahoma" w:hAnsi="Tahoma" w:cs="Tahoma"/>
          <w:sz w:val="20"/>
          <w:szCs w:val="20"/>
        </w:rPr>
        <w:t>2</w:t>
      </w:r>
      <w:r w:rsidRPr="009A53A9">
        <w:rPr>
          <w:rFonts w:ascii="Tahoma" w:hAnsi="Tahoma" w:cs="Tahoma"/>
          <w:sz w:val="20"/>
          <w:szCs w:val="20"/>
        </w:rPr>
        <w:t xml:space="preserve"> k nájemní smlouvě se smlouvou o podnájmu č. 2018 – 00798 ze dne </w:t>
      </w:r>
      <w:proofErr w:type="gramStart"/>
      <w:r w:rsidRPr="009A53A9">
        <w:rPr>
          <w:rFonts w:ascii="Tahoma" w:hAnsi="Tahoma" w:cs="Tahoma"/>
          <w:sz w:val="20"/>
          <w:szCs w:val="20"/>
        </w:rPr>
        <w:t>30.11.2018</w:t>
      </w:r>
      <w:proofErr w:type="gramEnd"/>
      <w:r w:rsidRPr="009A53A9">
        <w:rPr>
          <w:rFonts w:ascii="Tahoma" w:hAnsi="Tahoma" w:cs="Tahoma"/>
          <w:sz w:val="20"/>
          <w:szCs w:val="20"/>
        </w:rPr>
        <w:t xml:space="preserve">. </w:t>
      </w:r>
    </w:p>
    <w:p w:rsidR="00603F0F" w:rsidRDefault="00603F0F" w:rsidP="00BC08EE">
      <w:pPr>
        <w:jc w:val="both"/>
        <w:rPr>
          <w:rFonts w:ascii="Tahoma" w:hAnsi="Tahoma" w:cs="Tahoma"/>
          <w:sz w:val="20"/>
          <w:szCs w:val="20"/>
        </w:rPr>
      </w:pPr>
    </w:p>
    <w:p w:rsidR="00603F0F" w:rsidRPr="00BF543D" w:rsidRDefault="00732120" w:rsidP="00603F0F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603F0F" w:rsidRPr="00BF543D">
        <w:rPr>
          <w:rFonts w:ascii="Tahoma" w:hAnsi="Tahoma" w:cs="Tahoma"/>
          <w:sz w:val="24"/>
        </w:rPr>
        <w:t xml:space="preserve">) ZŠ </w:t>
      </w:r>
      <w:r>
        <w:rPr>
          <w:rFonts w:ascii="Tahoma" w:hAnsi="Tahoma" w:cs="Tahoma"/>
          <w:sz w:val="24"/>
        </w:rPr>
        <w:t>F. L. Čelakovského</w:t>
      </w:r>
      <w:r w:rsidR="00603F0F" w:rsidRPr="00BF543D">
        <w:rPr>
          <w:rFonts w:ascii="Tahoma" w:hAnsi="Tahoma" w:cs="Tahoma"/>
          <w:sz w:val="24"/>
        </w:rPr>
        <w:t>, Strakonice – použití IF na pořízení DNM</w:t>
      </w:r>
    </w:p>
    <w:p w:rsidR="00603F0F" w:rsidRDefault="00603F0F" w:rsidP="00603F0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03F0F" w:rsidRPr="005E0400" w:rsidRDefault="00603F0F" w:rsidP="00603F0F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03F0F" w:rsidRPr="005E0400" w:rsidRDefault="00603F0F" w:rsidP="00603F0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603F0F" w:rsidRPr="006A1338" w:rsidRDefault="00603F0F" w:rsidP="00603F0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03F0F" w:rsidRPr="006A1338" w:rsidRDefault="00603F0F" w:rsidP="00603F0F">
      <w:pPr>
        <w:pStyle w:val="Nadpis3"/>
        <w:rPr>
          <w:rFonts w:ascii="Tahoma" w:hAnsi="Tahoma" w:cs="Tahoma"/>
          <w:sz w:val="20"/>
          <w:szCs w:val="20"/>
        </w:rPr>
      </w:pPr>
      <w:r w:rsidRPr="006A1338">
        <w:rPr>
          <w:rFonts w:ascii="Tahoma" w:hAnsi="Tahoma" w:cs="Tahoma"/>
          <w:sz w:val="20"/>
          <w:szCs w:val="20"/>
        </w:rPr>
        <w:t>I. Souhlasí</w:t>
      </w:r>
    </w:p>
    <w:p w:rsidR="00603F0F" w:rsidRDefault="00603F0F" w:rsidP="00603F0F">
      <w:pPr>
        <w:jc w:val="both"/>
        <w:rPr>
          <w:rFonts w:ascii="Tahoma" w:hAnsi="Tahoma" w:cs="Tahoma"/>
          <w:bCs/>
          <w:sz w:val="20"/>
          <w:szCs w:val="20"/>
        </w:rPr>
      </w:pPr>
      <w:r w:rsidRPr="006A1338">
        <w:rPr>
          <w:rFonts w:ascii="Tahoma" w:hAnsi="Tahoma" w:cs="Tahoma"/>
          <w:bCs/>
          <w:sz w:val="20"/>
          <w:szCs w:val="20"/>
        </w:rPr>
        <w:t xml:space="preserve">s použitím investičního fondu příspěvkové organizace </w:t>
      </w:r>
      <w:r>
        <w:rPr>
          <w:rFonts w:ascii="Tahoma" w:hAnsi="Tahoma" w:cs="Tahoma"/>
          <w:bCs/>
          <w:sz w:val="20"/>
          <w:szCs w:val="20"/>
        </w:rPr>
        <w:t xml:space="preserve">ZŠ </w:t>
      </w:r>
      <w:r w:rsidR="00732120">
        <w:rPr>
          <w:rFonts w:ascii="Tahoma" w:hAnsi="Tahoma" w:cs="Tahoma"/>
          <w:bCs/>
          <w:sz w:val="20"/>
          <w:szCs w:val="20"/>
        </w:rPr>
        <w:t>F. L. Čelakovského</w:t>
      </w:r>
      <w:r>
        <w:rPr>
          <w:rFonts w:ascii="Tahoma" w:hAnsi="Tahoma" w:cs="Tahoma"/>
          <w:bCs/>
          <w:sz w:val="20"/>
          <w:szCs w:val="20"/>
        </w:rPr>
        <w:t>,</w:t>
      </w:r>
      <w:r w:rsidRPr="006A1338">
        <w:rPr>
          <w:rFonts w:ascii="Tahoma" w:hAnsi="Tahoma" w:cs="Tahoma"/>
          <w:bCs/>
          <w:sz w:val="20"/>
          <w:szCs w:val="20"/>
        </w:rPr>
        <w:t xml:space="preserve"> Strakonice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6A1338">
        <w:rPr>
          <w:rFonts w:ascii="Tahoma" w:hAnsi="Tahoma" w:cs="Tahoma"/>
          <w:bCs/>
          <w:sz w:val="20"/>
          <w:szCs w:val="20"/>
        </w:rPr>
        <w:t xml:space="preserve">na pořízení </w:t>
      </w:r>
      <w:r w:rsidR="00732120" w:rsidRPr="00732120">
        <w:rPr>
          <w:rFonts w:ascii="Tahoma" w:hAnsi="Tahoma" w:cs="Tahoma"/>
          <w:b/>
          <w:bCs/>
          <w:sz w:val="20"/>
          <w:szCs w:val="20"/>
        </w:rPr>
        <w:t>interaktivní tabule s projektorem</w:t>
      </w:r>
      <w:r w:rsidR="00732120">
        <w:rPr>
          <w:rFonts w:ascii="Tahoma" w:hAnsi="Tahoma" w:cs="Tahoma"/>
          <w:bCs/>
          <w:sz w:val="20"/>
          <w:szCs w:val="20"/>
        </w:rPr>
        <w:t xml:space="preserve"> ve výši </w:t>
      </w:r>
      <w:r w:rsidR="00732120" w:rsidRPr="00732120">
        <w:rPr>
          <w:rFonts w:ascii="Tahoma" w:hAnsi="Tahoma" w:cs="Tahoma"/>
          <w:b/>
          <w:bCs/>
          <w:sz w:val="20"/>
          <w:szCs w:val="20"/>
        </w:rPr>
        <w:t>117.100</w:t>
      </w:r>
      <w:r w:rsidR="00732120">
        <w:rPr>
          <w:rFonts w:ascii="Tahoma" w:hAnsi="Tahoma" w:cs="Tahoma"/>
          <w:b/>
          <w:bCs/>
          <w:sz w:val="20"/>
          <w:szCs w:val="20"/>
        </w:rPr>
        <w:t>,00</w:t>
      </w:r>
      <w:r w:rsidR="00732120" w:rsidRPr="00732120">
        <w:rPr>
          <w:rFonts w:ascii="Tahoma" w:hAnsi="Tahoma" w:cs="Tahoma"/>
          <w:b/>
          <w:bCs/>
          <w:sz w:val="20"/>
          <w:szCs w:val="20"/>
        </w:rPr>
        <w:t xml:space="preserve"> Kč</w:t>
      </w:r>
      <w:r w:rsidR="00732120">
        <w:rPr>
          <w:rFonts w:ascii="Tahoma" w:hAnsi="Tahoma" w:cs="Tahoma"/>
          <w:bCs/>
          <w:sz w:val="20"/>
          <w:szCs w:val="20"/>
        </w:rPr>
        <w:t xml:space="preserve"> a </w:t>
      </w:r>
      <w:r w:rsidR="00732120" w:rsidRPr="00732120">
        <w:rPr>
          <w:rFonts w:ascii="Tahoma" w:hAnsi="Tahoma" w:cs="Tahoma"/>
          <w:b/>
          <w:bCs/>
          <w:sz w:val="20"/>
          <w:szCs w:val="20"/>
        </w:rPr>
        <w:t>interaktivního panelu</w:t>
      </w:r>
      <w:r w:rsidR="00732120">
        <w:rPr>
          <w:rFonts w:ascii="Tahoma" w:hAnsi="Tahoma" w:cs="Tahoma"/>
          <w:bCs/>
          <w:sz w:val="20"/>
          <w:szCs w:val="20"/>
        </w:rPr>
        <w:t xml:space="preserve">  ve výši </w:t>
      </w:r>
      <w:r w:rsidR="00732120" w:rsidRPr="00732120">
        <w:rPr>
          <w:rFonts w:ascii="Tahoma" w:hAnsi="Tahoma" w:cs="Tahoma"/>
          <w:b/>
          <w:bCs/>
          <w:sz w:val="20"/>
          <w:szCs w:val="20"/>
        </w:rPr>
        <w:t>131.000,00 Kč</w:t>
      </w:r>
      <w:r w:rsidR="00732120">
        <w:rPr>
          <w:rFonts w:ascii="Tahoma" w:hAnsi="Tahoma" w:cs="Tahoma"/>
          <w:bCs/>
          <w:sz w:val="20"/>
          <w:szCs w:val="20"/>
        </w:rPr>
        <w:t>.</w:t>
      </w:r>
    </w:p>
    <w:p w:rsidR="00603F0F" w:rsidRDefault="00603F0F" w:rsidP="00603F0F">
      <w:pPr>
        <w:jc w:val="both"/>
        <w:rPr>
          <w:rFonts w:ascii="Tahoma" w:hAnsi="Tahoma" w:cs="Tahoma"/>
          <w:sz w:val="20"/>
          <w:szCs w:val="20"/>
        </w:rPr>
      </w:pPr>
    </w:p>
    <w:p w:rsidR="00603F0F" w:rsidRPr="006F78D2" w:rsidRDefault="00603F0F" w:rsidP="00603F0F">
      <w:pPr>
        <w:jc w:val="both"/>
      </w:pPr>
    </w:p>
    <w:p w:rsidR="00603F0F" w:rsidRPr="006A1338" w:rsidRDefault="00603F0F" w:rsidP="00603F0F">
      <w:pPr>
        <w:jc w:val="both"/>
        <w:rPr>
          <w:rFonts w:ascii="Tahoma" w:hAnsi="Tahoma" w:cs="Tahoma"/>
          <w:bCs/>
          <w:sz w:val="20"/>
          <w:szCs w:val="20"/>
        </w:rPr>
      </w:pPr>
    </w:p>
    <w:p w:rsidR="00603F0F" w:rsidRDefault="00603F0F" w:rsidP="00BC08E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03F0F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2137"/>
    <w:multiLevelType w:val="hybridMultilevel"/>
    <w:tmpl w:val="0EFE6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0"/>
  </w:num>
  <w:num w:numId="5">
    <w:abstractNumId w:val="3"/>
  </w:num>
  <w:num w:numId="6">
    <w:abstractNumId w:val="25"/>
  </w:num>
  <w:num w:numId="7">
    <w:abstractNumId w:val="17"/>
  </w:num>
  <w:num w:numId="8">
    <w:abstractNumId w:val="21"/>
  </w:num>
  <w:num w:numId="9">
    <w:abstractNumId w:val="11"/>
  </w:num>
  <w:num w:numId="10">
    <w:abstractNumId w:val="18"/>
  </w:num>
  <w:num w:numId="11">
    <w:abstractNumId w:val="23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  <w:num w:numId="19">
    <w:abstractNumId w:val="6"/>
  </w:num>
  <w:num w:numId="20">
    <w:abstractNumId w:val="24"/>
  </w:num>
  <w:num w:numId="21">
    <w:abstractNumId w:val="22"/>
  </w:num>
  <w:num w:numId="22">
    <w:abstractNumId w:val="7"/>
  </w:num>
  <w:num w:numId="23">
    <w:abstractNumId w:val="15"/>
  </w:num>
  <w:num w:numId="24">
    <w:abstractNumId w:val="2"/>
  </w:num>
  <w:num w:numId="25">
    <w:abstractNumId w:val="1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9554E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A4C56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2586B"/>
    <w:rsid w:val="002411CA"/>
    <w:rsid w:val="00253FA7"/>
    <w:rsid w:val="00263D02"/>
    <w:rsid w:val="00264AEC"/>
    <w:rsid w:val="00275F93"/>
    <w:rsid w:val="002765A0"/>
    <w:rsid w:val="0029381C"/>
    <w:rsid w:val="002A5983"/>
    <w:rsid w:val="002B083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2254"/>
    <w:rsid w:val="003938C5"/>
    <w:rsid w:val="003A435A"/>
    <w:rsid w:val="003B62A1"/>
    <w:rsid w:val="003D11E4"/>
    <w:rsid w:val="003D4F75"/>
    <w:rsid w:val="003D5DA3"/>
    <w:rsid w:val="003E1120"/>
    <w:rsid w:val="003E35C3"/>
    <w:rsid w:val="003E55F8"/>
    <w:rsid w:val="003E7F17"/>
    <w:rsid w:val="003F19A8"/>
    <w:rsid w:val="003F60E2"/>
    <w:rsid w:val="00400F0D"/>
    <w:rsid w:val="00403DFF"/>
    <w:rsid w:val="004133EB"/>
    <w:rsid w:val="004168E3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B7E70"/>
    <w:rsid w:val="004C14B1"/>
    <w:rsid w:val="004C4E8A"/>
    <w:rsid w:val="004C5491"/>
    <w:rsid w:val="004C75E5"/>
    <w:rsid w:val="004F111F"/>
    <w:rsid w:val="004F5290"/>
    <w:rsid w:val="004F6997"/>
    <w:rsid w:val="00503620"/>
    <w:rsid w:val="0050455F"/>
    <w:rsid w:val="00515121"/>
    <w:rsid w:val="00515C95"/>
    <w:rsid w:val="005265A1"/>
    <w:rsid w:val="00527B29"/>
    <w:rsid w:val="00543D93"/>
    <w:rsid w:val="00554488"/>
    <w:rsid w:val="00555336"/>
    <w:rsid w:val="005641A9"/>
    <w:rsid w:val="00564F1B"/>
    <w:rsid w:val="00571569"/>
    <w:rsid w:val="00582E83"/>
    <w:rsid w:val="00585045"/>
    <w:rsid w:val="00586781"/>
    <w:rsid w:val="005A324D"/>
    <w:rsid w:val="005B2D03"/>
    <w:rsid w:val="005C069A"/>
    <w:rsid w:val="005C0D95"/>
    <w:rsid w:val="005C31DE"/>
    <w:rsid w:val="005C3AE9"/>
    <w:rsid w:val="005D076E"/>
    <w:rsid w:val="005D3907"/>
    <w:rsid w:val="005D7ACF"/>
    <w:rsid w:val="00603F0F"/>
    <w:rsid w:val="00614052"/>
    <w:rsid w:val="00616B6E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943C5"/>
    <w:rsid w:val="006A49B4"/>
    <w:rsid w:val="006C1765"/>
    <w:rsid w:val="006C18F3"/>
    <w:rsid w:val="006D27E9"/>
    <w:rsid w:val="006E761E"/>
    <w:rsid w:val="006F3E0B"/>
    <w:rsid w:val="007001AA"/>
    <w:rsid w:val="00702478"/>
    <w:rsid w:val="00710D8B"/>
    <w:rsid w:val="007116A8"/>
    <w:rsid w:val="00717DE3"/>
    <w:rsid w:val="00730898"/>
    <w:rsid w:val="00732120"/>
    <w:rsid w:val="00736BF8"/>
    <w:rsid w:val="00737FA0"/>
    <w:rsid w:val="00743580"/>
    <w:rsid w:val="00744DF9"/>
    <w:rsid w:val="0075777C"/>
    <w:rsid w:val="007646D2"/>
    <w:rsid w:val="0077043F"/>
    <w:rsid w:val="00770D77"/>
    <w:rsid w:val="00776F9A"/>
    <w:rsid w:val="00787618"/>
    <w:rsid w:val="0079004E"/>
    <w:rsid w:val="00797E84"/>
    <w:rsid w:val="007A2432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0B1"/>
    <w:rsid w:val="007F51E5"/>
    <w:rsid w:val="007F5578"/>
    <w:rsid w:val="008019C6"/>
    <w:rsid w:val="008030F0"/>
    <w:rsid w:val="00820383"/>
    <w:rsid w:val="00826AF2"/>
    <w:rsid w:val="00845BD1"/>
    <w:rsid w:val="00851A96"/>
    <w:rsid w:val="008621CC"/>
    <w:rsid w:val="00864B91"/>
    <w:rsid w:val="00870E11"/>
    <w:rsid w:val="008A5013"/>
    <w:rsid w:val="008B4B96"/>
    <w:rsid w:val="008C78EA"/>
    <w:rsid w:val="008D4649"/>
    <w:rsid w:val="008F1F41"/>
    <w:rsid w:val="008F2CF5"/>
    <w:rsid w:val="00901BC1"/>
    <w:rsid w:val="009033C0"/>
    <w:rsid w:val="00903FD7"/>
    <w:rsid w:val="00905AF4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45428"/>
    <w:rsid w:val="009509E1"/>
    <w:rsid w:val="00950E46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6CC0"/>
    <w:rsid w:val="00A37D33"/>
    <w:rsid w:val="00A51D22"/>
    <w:rsid w:val="00A6151C"/>
    <w:rsid w:val="00A64CA6"/>
    <w:rsid w:val="00A64FB6"/>
    <w:rsid w:val="00A66E5B"/>
    <w:rsid w:val="00A86F5F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66087"/>
    <w:rsid w:val="00B71F7B"/>
    <w:rsid w:val="00B74091"/>
    <w:rsid w:val="00B74E4B"/>
    <w:rsid w:val="00B80A07"/>
    <w:rsid w:val="00B81C85"/>
    <w:rsid w:val="00BA284D"/>
    <w:rsid w:val="00BA75B3"/>
    <w:rsid w:val="00BB2501"/>
    <w:rsid w:val="00BB32C6"/>
    <w:rsid w:val="00BC08EE"/>
    <w:rsid w:val="00BC3526"/>
    <w:rsid w:val="00BC7806"/>
    <w:rsid w:val="00BD13FA"/>
    <w:rsid w:val="00BD4D3B"/>
    <w:rsid w:val="00BE6916"/>
    <w:rsid w:val="00BF0252"/>
    <w:rsid w:val="00BF084B"/>
    <w:rsid w:val="00BF543D"/>
    <w:rsid w:val="00C01E93"/>
    <w:rsid w:val="00C0564E"/>
    <w:rsid w:val="00C155CA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B23C8"/>
    <w:rsid w:val="00CC224B"/>
    <w:rsid w:val="00CD292E"/>
    <w:rsid w:val="00CD3E0F"/>
    <w:rsid w:val="00CD3E5C"/>
    <w:rsid w:val="00CF4D00"/>
    <w:rsid w:val="00D050EE"/>
    <w:rsid w:val="00D0648E"/>
    <w:rsid w:val="00D14D10"/>
    <w:rsid w:val="00D17684"/>
    <w:rsid w:val="00D20871"/>
    <w:rsid w:val="00D53445"/>
    <w:rsid w:val="00D53D51"/>
    <w:rsid w:val="00D5458C"/>
    <w:rsid w:val="00D55BDE"/>
    <w:rsid w:val="00D613D6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145AE"/>
    <w:rsid w:val="00E226CE"/>
    <w:rsid w:val="00E31475"/>
    <w:rsid w:val="00E4250E"/>
    <w:rsid w:val="00E55622"/>
    <w:rsid w:val="00E73EAC"/>
    <w:rsid w:val="00E9242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49FE"/>
    <w:rsid w:val="00F148ED"/>
    <w:rsid w:val="00F1723E"/>
    <w:rsid w:val="00F22591"/>
    <w:rsid w:val="00F42E77"/>
    <w:rsid w:val="00F52431"/>
    <w:rsid w:val="00F701F6"/>
    <w:rsid w:val="00F757F0"/>
    <w:rsid w:val="00F76121"/>
    <w:rsid w:val="00F76760"/>
    <w:rsid w:val="00F83C2F"/>
    <w:rsid w:val="00F8576C"/>
    <w:rsid w:val="00F96978"/>
    <w:rsid w:val="00FA366D"/>
    <w:rsid w:val="00FA710A"/>
    <w:rsid w:val="00FB2B24"/>
    <w:rsid w:val="00FB7FC0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74CC5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9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10148-779C-4BE0-89E2-B9D24CB3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4058</TotalTime>
  <Pages>3</Pages>
  <Words>845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91</cp:revision>
  <cp:lastPrinted>2020-08-26T11:43:00Z</cp:lastPrinted>
  <dcterms:created xsi:type="dcterms:W3CDTF">2018-01-15T11:56:00Z</dcterms:created>
  <dcterms:modified xsi:type="dcterms:W3CDTF">2020-08-27T05:24:00Z</dcterms:modified>
</cp:coreProperties>
</file>