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E96" w:rsidRPr="00390E96" w:rsidRDefault="00390E96" w:rsidP="00390E9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90E96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90E96" w:rsidRPr="00390E96" w:rsidRDefault="00390E96" w:rsidP="00124687">
      <w:pPr>
        <w:pStyle w:val="Nadpis1"/>
        <w:rPr>
          <w:rFonts w:ascii="Tahoma" w:hAnsi="Tahoma" w:cs="Tahoma"/>
        </w:rPr>
      </w:pPr>
    </w:p>
    <w:p w:rsidR="00D93D24" w:rsidRDefault="007332F5" w:rsidP="00124687">
      <w:pPr>
        <w:pStyle w:val="Nadpis1"/>
        <w:rPr>
          <w:u w:val="single"/>
        </w:rPr>
      </w:pPr>
      <w:r>
        <w:t>2</w:t>
      </w:r>
      <w:r w:rsidR="009430EA">
        <w:t>1</w:t>
      </w:r>
      <w:r w:rsidR="00D93D24">
        <w:t>/</w:t>
      </w:r>
      <w:r w:rsidR="00124687">
        <w:t>0</w:t>
      </w:r>
      <w:r>
        <w:t>2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7E77" w:rsidRPr="00DA42CE" w:rsidRDefault="00E1404C" w:rsidP="00FE042C">
      <w:pPr>
        <w:numPr>
          <w:ilvl w:val="0"/>
          <w:numId w:val="3"/>
        </w:numPr>
      </w:pPr>
      <w:r>
        <w:rPr>
          <w:u w:val="single"/>
        </w:rPr>
        <w:t xml:space="preserve">Rozbor hospodaření města </w:t>
      </w:r>
      <w:r w:rsidR="00716BD9">
        <w:rPr>
          <w:u w:val="single"/>
        </w:rPr>
        <w:t>za</w:t>
      </w:r>
      <w:r>
        <w:rPr>
          <w:u w:val="single"/>
        </w:rPr>
        <w:t xml:space="preserve"> 1. pololetí roku 20</w:t>
      </w:r>
      <w:r w:rsidR="007332F5">
        <w:rPr>
          <w:u w:val="single"/>
        </w:rPr>
        <w:t>20</w:t>
      </w:r>
    </w:p>
    <w:p w:rsidR="00DA42CE" w:rsidRPr="00625C47" w:rsidRDefault="007332F5" w:rsidP="00FE042C">
      <w:pPr>
        <w:numPr>
          <w:ilvl w:val="0"/>
          <w:numId w:val="3"/>
        </w:numPr>
      </w:pPr>
      <w:r>
        <w:rPr>
          <w:u w:val="single"/>
        </w:rPr>
        <w:t>Rozpočtová opatření č. 46 -</w:t>
      </w:r>
      <w:r w:rsidR="00B103FC">
        <w:rPr>
          <w:u w:val="single"/>
        </w:rPr>
        <w:t xml:space="preserve"> 5</w:t>
      </w:r>
      <w:r w:rsidR="00B60881">
        <w:rPr>
          <w:u w:val="single"/>
        </w:rPr>
        <w:t>2</w:t>
      </w:r>
    </w:p>
    <w:p w:rsidR="00DA42CE" w:rsidRDefault="007332F5" w:rsidP="00625C4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ZŠ Dukelská – </w:t>
      </w:r>
      <w:r w:rsidR="00B103FC">
        <w:rPr>
          <w:u w:val="single"/>
        </w:rPr>
        <w:t xml:space="preserve">pořízení </w:t>
      </w:r>
      <w:proofErr w:type="spellStart"/>
      <w:r w:rsidR="00B103FC">
        <w:rPr>
          <w:u w:val="single"/>
        </w:rPr>
        <w:t>konvektomatu</w:t>
      </w:r>
      <w:proofErr w:type="spellEnd"/>
      <w:r w:rsidR="00B103FC">
        <w:rPr>
          <w:u w:val="single"/>
        </w:rPr>
        <w:t xml:space="preserve">, použití RF a IF </w:t>
      </w:r>
    </w:p>
    <w:p w:rsidR="0028044D" w:rsidRDefault="0028044D" w:rsidP="00625C4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ZŠ Krále J. z Poděbrad – změna použití IF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332F5">
        <w:t>30</w:t>
      </w:r>
      <w:r w:rsidR="00B526D2">
        <w:t>.</w:t>
      </w:r>
      <w:r>
        <w:t xml:space="preserve"> </w:t>
      </w:r>
      <w:r w:rsidR="007332F5">
        <w:t>září</w:t>
      </w:r>
      <w:r>
        <w:t xml:space="preserve"> 20</w:t>
      </w:r>
      <w:r w:rsidR="007332F5">
        <w:t>20</w:t>
      </w: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Jitka </w:t>
      </w:r>
      <w:proofErr w:type="spellStart"/>
      <w:r>
        <w:t>Šochmanová</w:t>
      </w:r>
      <w:proofErr w:type="spellEnd"/>
      <w:r w:rsidR="00C57E77">
        <w:t xml:space="preserve">, </w:t>
      </w:r>
      <w:r>
        <w:t>vedoucí finančního odboru</w:t>
      </w:r>
    </w:p>
    <w:p w:rsidR="00390E96" w:rsidRDefault="00390E96" w:rsidP="00987D3D">
      <w:pPr>
        <w:widowControl w:val="0"/>
        <w:autoSpaceDE w:val="0"/>
        <w:autoSpaceDN w:val="0"/>
        <w:adjustRightInd w:val="0"/>
        <w:jc w:val="both"/>
      </w:pP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B50F23" w:rsidRPr="00390E96" w:rsidRDefault="00DA42CE" w:rsidP="007332F5">
      <w:pPr>
        <w:pStyle w:val="Nadpis2"/>
        <w:numPr>
          <w:ilvl w:val="0"/>
          <w:numId w:val="0"/>
        </w:numPr>
        <w:rPr>
          <w:rFonts w:ascii="Tahoma" w:hAnsi="Tahoma" w:cs="Tahoma"/>
          <w:sz w:val="24"/>
        </w:rPr>
      </w:pPr>
      <w:r w:rsidRPr="00390E96">
        <w:rPr>
          <w:rFonts w:ascii="Tahoma" w:hAnsi="Tahoma" w:cs="Tahoma"/>
          <w:sz w:val="24"/>
        </w:rPr>
        <w:lastRenderedPageBreak/>
        <w:t>1</w:t>
      </w:r>
      <w:r w:rsidR="00B50F23" w:rsidRPr="00390E96">
        <w:rPr>
          <w:rFonts w:ascii="Tahoma" w:hAnsi="Tahoma" w:cs="Tahoma"/>
          <w:sz w:val="24"/>
        </w:rPr>
        <w:t>) Rozbor hospodaření města Strakonice za 1. pololetí roku 20</w:t>
      </w:r>
      <w:r w:rsidR="007332F5" w:rsidRPr="00390E96">
        <w:rPr>
          <w:rFonts w:ascii="Tahoma" w:hAnsi="Tahoma" w:cs="Tahoma"/>
          <w:sz w:val="24"/>
        </w:rPr>
        <w:t>20</w:t>
      </w:r>
    </w:p>
    <w:p w:rsidR="007332F5" w:rsidRPr="00390E96" w:rsidRDefault="007332F5" w:rsidP="007332F5">
      <w:pPr>
        <w:jc w:val="both"/>
        <w:rPr>
          <w:rFonts w:ascii="Tahoma" w:hAnsi="Tahoma" w:cs="Tahoma"/>
          <w:i/>
          <w:iCs/>
        </w:rPr>
      </w:pPr>
    </w:p>
    <w:p w:rsidR="007332F5" w:rsidRPr="00390E96" w:rsidRDefault="007332F5" w:rsidP="007332F5">
      <w:pPr>
        <w:rPr>
          <w:rFonts w:ascii="Tahoma" w:hAnsi="Tahoma" w:cs="Tahoma"/>
          <w:b/>
          <w:bCs/>
          <w:u w:val="single"/>
        </w:rPr>
      </w:pPr>
      <w:r w:rsidRPr="00390E96">
        <w:rPr>
          <w:rFonts w:ascii="Tahoma" w:hAnsi="Tahoma" w:cs="Tahoma"/>
          <w:b/>
          <w:bCs/>
          <w:u w:val="single"/>
        </w:rPr>
        <w:t xml:space="preserve">Návrh usnesení: </w:t>
      </w:r>
    </w:p>
    <w:p w:rsidR="007332F5" w:rsidRPr="00390E96" w:rsidRDefault="007332F5" w:rsidP="007332F5">
      <w:pPr>
        <w:rPr>
          <w:rFonts w:ascii="Tahoma" w:hAnsi="Tahoma" w:cs="Tahoma"/>
        </w:rPr>
      </w:pPr>
      <w:r w:rsidRPr="00390E96">
        <w:rPr>
          <w:rFonts w:ascii="Tahoma" w:hAnsi="Tahoma" w:cs="Tahoma"/>
        </w:rPr>
        <w:t>RM po projednání</w:t>
      </w:r>
    </w:p>
    <w:p w:rsidR="007332F5" w:rsidRPr="00390E96" w:rsidRDefault="007332F5" w:rsidP="007332F5">
      <w:pPr>
        <w:pStyle w:val="Nadpis3"/>
        <w:rPr>
          <w:rFonts w:ascii="Tahoma" w:hAnsi="Tahoma" w:cs="Tahoma"/>
          <w:szCs w:val="24"/>
        </w:rPr>
      </w:pPr>
      <w:r w:rsidRPr="00390E96">
        <w:rPr>
          <w:rFonts w:ascii="Tahoma" w:hAnsi="Tahoma" w:cs="Tahoma"/>
          <w:szCs w:val="24"/>
        </w:rPr>
        <w:t xml:space="preserve">I. Bere na vědomí </w:t>
      </w:r>
    </w:p>
    <w:p w:rsidR="007332F5" w:rsidRPr="00390E96" w:rsidRDefault="007332F5" w:rsidP="007332F5">
      <w:pPr>
        <w:rPr>
          <w:rFonts w:ascii="Tahoma" w:hAnsi="Tahoma" w:cs="Tahoma"/>
        </w:rPr>
      </w:pPr>
      <w:r w:rsidRPr="00390E96">
        <w:rPr>
          <w:rFonts w:ascii="Tahoma" w:hAnsi="Tahoma" w:cs="Tahoma"/>
        </w:rPr>
        <w:t>Rozbor hospodaření města Strakonice a jím zřízených organizací za 1. pololetí roku 20</w:t>
      </w:r>
      <w:r w:rsidR="00541EB7" w:rsidRPr="00390E96">
        <w:rPr>
          <w:rFonts w:ascii="Tahoma" w:hAnsi="Tahoma" w:cs="Tahoma"/>
        </w:rPr>
        <w:t>20</w:t>
      </w:r>
      <w:r w:rsidRPr="00390E96">
        <w:rPr>
          <w:rFonts w:ascii="Tahoma" w:hAnsi="Tahoma" w:cs="Tahoma"/>
        </w:rPr>
        <w:t>.</w:t>
      </w:r>
    </w:p>
    <w:p w:rsidR="00C3021E" w:rsidRPr="00390E96" w:rsidRDefault="00C3021E" w:rsidP="00EF3A8B">
      <w:pPr>
        <w:pStyle w:val="Zkladntext"/>
        <w:rPr>
          <w:rFonts w:ascii="Tahoma" w:hAnsi="Tahoma" w:cs="Tahoma"/>
        </w:rPr>
      </w:pPr>
    </w:p>
    <w:p w:rsidR="00C920F7" w:rsidRPr="00390E96" w:rsidRDefault="00C3021E" w:rsidP="00390E96">
      <w:pPr>
        <w:pStyle w:val="Nadpis2"/>
        <w:numPr>
          <w:ilvl w:val="0"/>
          <w:numId w:val="0"/>
        </w:numPr>
        <w:rPr>
          <w:rFonts w:ascii="Tahoma" w:hAnsi="Tahoma" w:cs="Tahoma"/>
          <w:sz w:val="24"/>
        </w:rPr>
      </w:pPr>
      <w:r w:rsidRPr="00390E96">
        <w:rPr>
          <w:rFonts w:ascii="Tahoma" w:hAnsi="Tahoma" w:cs="Tahoma"/>
          <w:sz w:val="24"/>
        </w:rPr>
        <w:t xml:space="preserve">2) </w:t>
      </w:r>
      <w:r w:rsidR="00541EB7" w:rsidRPr="00390E96">
        <w:rPr>
          <w:rFonts w:ascii="Tahoma" w:hAnsi="Tahoma" w:cs="Tahoma"/>
          <w:sz w:val="24"/>
        </w:rPr>
        <w:t xml:space="preserve">Rozpočtová opatření č. 46 </w:t>
      </w:r>
      <w:r w:rsidR="00390E96" w:rsidRPr="00390E96">
        <w:rPr>
          <w:rFonts w:ascii="Tahoma" w:hAnsi="Tahoma" w:cs="Tahoma"/>
          <w:sz w:val="24"/>
        </w:rPr>
        <w:t>–</w:t>
      </w:r>
      <w:r w:rsidR="00B13A96" w:rsidRPr="00390E96">
        <w:rPr>
          <w:rFonts w:ascii="Tahoma" w:hAnsi="Tahoma" w:cs="Tahoma"/>
          <w:sz w:val="24"/>
        </w:rPr>
        <w:t xml:space="preserve"> 5</w:t>
      </w:r>
      <w:r w:rsidR="00B60881" w:rsidRPr="00390E96">
        <w:rPr>
          <w:rFonts w:ascii="Tahoma" w:hAnsi="Tahoma" w:cs="Tahoma"/>
          <w:sz w:val="24"/>
        </w:rPr>
        <w:t>2</w:t>
      </w:r>
    </w:p>
    <w:p w:rsidR="00390E96" w:rsidRPr="00390E96" w:rsidRDefault="00390E96" w:rsidP="00390E96">
      <w:pPr>
        <w:rPr>
          <w:rFonts w:ascii="Tahoma" w:hAnsi="Tahoma" w:cs="Tahoma"/>
        </w:rPr>
      </w:pPr>
    </w:p>
    <w:p w:rsidR="00C3021E" w:rsidRPr="00390E96" w:rsidRDefault="00C3021E" w:rsidP="00C3021E">
      <w:pPr>
        <w:jc w:val="both"/>
        <w:rPr>
          <w:rFonts w:ascii="Tahoma" w:hAnsi="Tahoma" w:cs="Tahoma"/>
          <w:b/>
          <w:bCs/>
          <w:u w:val="single"/>
        </w:rPr>
      </w:pPr>
      <w:r w:rsidRPr="00390E96">
        <w:rPr>
          <w:rFonts w:ascii="Tahoma" w:hAnsi="Tahoma" w:cs="Tahoma"/>
          <w:b/>
          <w:bCs/>
          <w:u w:val="single"/>
        </w:rPr>
        <w:t>Návrh usnesení:</w:t>
      </w:r>
    </w:p>
    <w:p w:rsidR="00C3021E" w:rsidRPr="00390E96" w:rsidRDefault="00C3021E" w:rsidP="00C3021E">
      <w:pPr>
        <w:pStyle w:val="Zkladntext"/>
        <w:rPr>
          <w:rFonts w:ascii="Tahoma" w:hAnsi="Tahoma" w:cs="Tahoma"/>
          <w:bCs/>
        </w:rPr>
      </w:pPr>
      <w:r w:rsidRPr="00390E96">
        <w:rPr>
          <w:rFonts w:ascii="Tahoma" w:hAnsi="Tahoma" w:cs="Tahoma"/>
          <w:bCs/>
        </w:rPr>
        <w:t>RM po projednání</w:t>
      </w:r>
    </w:p>
    <w:p w:rsidR="00C3021E" w:rsidRPr="00390E96" w:rsidRDefault="00C3021E" w:rsidP="00C3021E">
      <w:pPr>
        <w:pStyle w:val="Nadpis3"/>
        <w:ind w:left="360" w:hanging="360"/>
        <w:rPr>
          <w:rFonts w:ascii="Tahoma" w:hAnsi="Tahoma" w:cs="Tahoma"/>
          <w:szCs w:val="24"/>
        </w:rPr>
      </w:pPr>
      <w:r w:rsidRPr="00390E96">
        <w:rPr>
          <w:rFonts w:ascii="Tahoma" w:hAnsi="Tahoma" w:cs="Tahoma"/>
          <w:szCs w:val="24"/>
        </w:rPr>
        <w:t xml:space="preserve">1. </w:t>
      </w:r>
      <w:r w:rsidR="00541EB7" w:rsidRPr="00390E96">
        <w:rPr>
          <w:rFonts w:ascii="Tahoma" w:hAnsi="Tahoma" w:cs="Tahoma"/>
          <w:szCs w:val="24"/>
        </w:rPr>
        <w:t>Schvaluje</w:t>
      </w:r>
    </w:p>
    <w:p w:rsidR="00782F47" w:rsidRPr="00390E96" w:rsidRDefault="00782F47" w:rsidP="00782F47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46  ve výši  572.487,38 Kč</w:t>
      </w:r>
    </w:p>
    <w:p w:rsidR="00782F47" w:rsidRPr="00390E96" w:rsidRDefault="00782F47" w:rsidP="00782F47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Neinvestiční průtoková dotace ze státního rozpočtu pro příspěvkovou organizaci </w:t>
      </w:r>
      <w:proofErr w:type="spellStart"/>
      <w:r w:rsidRPr="00390E96">
        <w:rPr>
          <w:rFonts w:ascii="Tahoma" w:hAnsi="Tahoma" w:cs="Tahoma"/>
        </w:rPr>
        <w:t>MěÚSS</w:t>
      </w:r>
      <w:proofErr w:type="spellEnd"/>
      <w:r w:rsidRPr="00390E96">
        <w:rPr>
          <w:rFonts w:ascii="Tahoma" w:hAnsi="Tahoma" w:cs="Tahoma"/>
        </w:rPr>
        <w:t>, Strakonice  na vyplacení odměn zdravotnických pracovníků v sociálních službách v souvislosti  s epidemií COVID-19.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782F47" w:rsidRPr="00390E96" w:rsidTr="002C7E4F">
        <w:tc>
          <w:tcPr>
            <w:tcW w:w="2265" w:type="dxa"/>
          </w:tcPr>
          <w:p w:rsidR="00782F47" w:rsidRPr="00390E96" w:rsidRDefault="00782F47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782F47" w:rsidRPr="00390E96" w:rsidRDefault="00782F47" w:rsidP="002C7E4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782F47" w:rsidRPr="00390E96" w:rsidRDefault="00782F47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1230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0000 - 4116</w:t>
            </w:r>
          </w:p>
        </w:tc>
        <w:tc>
          <w:tcPr>
            <w:tcW w:w="1984" w:type="dxa"/>
          </w:tcPr>
          <w:p w:rsidR="00782F47" w:rsidRPr="00390E96" w:rsidRDefault="00782F47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proofErr w:type="spellStart"/>
            <w:r w:rsidR="00357EE5" w:rsidRPr="00390E96">
              <w:rPr>
                <w:rFonts w:ascii="Tahoma" w:hAnsi="Tahoma" w:cs="Tahoma"/>
                <w:sz w:val="22"/>
                <w:szCs w:val="22"/>
              </w:rPr>
              <w:t>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357EE5" w:rsidRPr="00390E96">
              <w:rPr>
                <w:rFonts w:ascii="Tahoma" w:hAnsi="Tahoma" w:cs="Tahoma"/>
                <w:sz w:val="22"/>
                <w:szCs w:val="22"/>
              </w:rPr>
              <w:t>xxx</w:t>
            </w:r>
            <w:proofErr w:type="spellEnd"/>
          </w:p>
        </w:tc>
      </w:tr>
      <w:tr w:rsidR="00782F47" w:rsidRPr="00390E96" w:rsidTr="002C7E4F">
        <w:tc>
          <w:tcPr>
            <w:tcW w:w="2265" w:type="dxa"/>
          </w:tcPr>
          <w:p w:rsidR="00782F47" w:rsidRPr="00390E96" w:rsidRDefault="00782F47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782F47" w:rsidRPr="00390E96" w:rsidRDefault="00782F47" w:rsidP="002C7E4F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782F47" w:rsidRPr="00390E96" w:rsidRDefault="00782F47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1230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5336    </w:t>
            </w:r>
          </w:p>
        </w:tc>
        <w:tc>
          <w:tcPr>
            <w:tcW w:w="1984" w:type="dxa"/>
          </w:tcPr>
          <w:p w:rsidR="00782F47" w:rsidRPr="00390E96" w:rsidRDefault="00782F47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proofErr w:type="spellStart"/>
            <w:r w:rsidR="00357EE5" w:rsidRPr="00390E96">
              <w:rPr>
                <w:rFonts w:ascii="Tahoma" w:hAnsi="Tahoma" w:cs="Tahoma"/>
                <w:sz w:val="22"/>
                <w:szCs w:val="22"/>
              </w:rPr>
              <w:t>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357EE5" w:rsidRPr="00390E96">
              <w:rPr>
                <w:rFonts w:ascii="Tahoma" w:hAnsi="Tahoma" w:cs="Tahoma"/>
                <w:sz w:val="22"/>
                <w:szCs w:val="22"/>
              </w:rPr>
              <w:t>xxx</w:t>
            </w:r>
            <w:proofErr w:type="spellEnd"/>
          </w:p>
        </w:tc>
      </w:tr>
    </w:tbl>
    <w:p w:rsidR="00541EB7" w:rsidRPr="00390E96" w:rsidRDefault="00541EB7" w:rsidP="00541EB7">
      <w:pPr>
        <w:rPr>
          <w:sz w:val="22"/>
          <w:szCs w:val="22"/>
        </w:rPr>
      </w:pPr>
    </w:p>
    <w:p w:rsidR="00357EE5" w:rsidRPr="00390E96" w:rsidRDefault="00357EE5" w:rsidP="00357EE5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47  ve výši  1.238.000,00 Kč</w:t>
      </w:r>
    </w:p>
    <w:p w:rsidR="00357EE5" w:rsidRPr="00390E96" w:rsidRDefault="00357EE5" w:rsidP="00357EE5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>Finanční prostředky na pokrytí výdajů spojených s konáním voleb do 1/3 Senátu Parlamentu ČR a do zastupitelstva kraje, vyhlášených na 2. a 3. října 2020.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357EE5" w:rsidRPr="00390E96" w:rsidTr="002C7E4F">
        <w:tc>
          <w:tcPr>
            <w:tcW w:w="2265" w:type="dxa"/>
          </w:tcPr>
          <w:p w:rsidR="00357EE5" w:rsidRPr="00390E96" w:rsidRDefault="00357EE5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357EE5" w:rsidRPr="00390E96" w:rsidRDefault="00357EE5" w:rsidP="002C7E4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357EE5" w:rsidRPr="00390E96" w:rsidRDefault="00357EE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99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0000 - 4111</w:t>
            </w:r>
          </w:p>
        </w:tc>
        <w:tc>
          <w:tcPr>
            <w:tcW w:w="1984" w:type="dxa"/>
          </w:tcPr>
          <w:p w:rsidR="00357EE5" w:rsidRPr="00390E96" w:rsidRDefault="00357EE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ÚZ  98 193</w:t>
            </w:r>
          </w:p>
        </w:tc>
      </w:tr>
      <w:tr w:rsidR="00357EE5" w:rsidRPr="00390E96" w:rsidTr="002C7E4F">
        <w:tc>
          <w:tcPr>
            <w:tcW w:w="2265" w:type="dxa"/>
          </w:tcPr>
          <w:p w:rsidR="00357EE5" w:rsidRPr="00390E96" w:rsidRDefault="00357EE5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357EE5" w:rsidRPr="00390E96" w:rsidRDefault="00357EE5" w:rsidP="002C7E4F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357EE5" w:rsidRPr="00390E96" w:rsidRDefault="00357EE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99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6115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5xxx    </w:t>
            </w:r>
          </w:p>
        </w:tc>
        <w:tc>
          <w:tcPr>
            <w:tcW w:w="1984" w:type="dxa"/>
          </w:tcPr>
          <w:p w:rsidR="00357EE5" w:rsidRPr="00390E96" w:rsidRDefault="00357EE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ÚZ  98 193</w:t>
            </w:r>
          </w:p>
        </w:tc>
      </w:tr>
    </w:tbl>
    <w:p w:rsidR="00357EE5" w:rsidRPr="00390E96" w:rsidRDefault="00357EE5" w:rsidP="00357EE5">
      <w:pPr>
        <w:rPr>
          <w:sz w:val="22"/>
          <w:szCs w:val="22"/>
        </w:rPr>
      </w:pPr>
    </w:p>
    <w:p w:rsidR="00357EE5" w:rsidRPr="00390E96" w:rsidRDefault="00357EE5" w:rsidP="00357EE5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48 ve výši  10.289,00 Kč</w:t>
      </w:r>
    </w:p>
    <w:p w:rsidR="007615F5" w:rsidRPr="00390E96" w:rsidRDefault="00357EE5" w:rsidP="007615F5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>Zvýšení dotace</w:t>
      </w:r>
      <w:r w:rsidR="00EF344B" w:rsidRPr="00390E96">
        <w:rPr>
          <w:rFonts w:ascii="Tahoma" w:hAnsi="Tahoma" w:cs="Tahoma"/>
        </w:rPr>
        <w:t xml:space="preserve"> a její použití</w:t>
      </w:r>
      <w:r w:rsidRPr="00390E96">
        <w:rPr>
          <w:rFonts w:ascii="Tahoma" w:hAnsi="Tahoma" w:cs="Tahoma"/>
        </w:rPr>
        <w:t xml:space="preserve"> na zaji</w:t>
      </w:r>
      <w:r w:rsidR="007615F5" w:rsidRPr="00390E96">
        <w:rPr>
          <w:rFonts w:ascii="Tahoma" w:hAnsi="Tahoma" w:cs="Tahoma"/>
        </w:rPr>
        <w:t>štění činností vykonávaných v oblasti sociálně-právní ochrany dětí v roce 2020 a to v souladu s Rozhodnutím o poskytnutí dotace na rok 2020 a doplatkem dotace na zajištění výkonu agendy v roce 2019</w:t>
      </w:r>
      <w:r w:rsidR="00EF344B" w:rsidRPr="00390E96">
        <w:rPr>
          <w:rFonts w:ascii="Tahoma" w:hAnsi="Tahoma" w:cs="Tahoma"/>
        </w:rPr>
        <w:t xml:space="preserve"> (schválený rozpočet: 7.022.000,00 Kč, skutečná výše dotace: 7.032.289,00 Kč)</w:t>
      </w:r>
      <w:r w:rsidR="007615F5" w:rsidRPr="00390E96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7615F5" w:rsidTr="002C7E4F">
        <w:tc>
          <w:tcPr>
            <w:tcW w:w="2265" w:type="dxa"/>
          </w:tcPr>
          <w:p w:rsidR="007615F5" w:rsidRPr="00390E96" w:rsidRDefault="007615F5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7615F5" w:rsidRPr="00390E96" w:rsidRDefault="007615F5" w:rsidP="002C7E4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7615F5" w:rsidRPr="00390E96" w:rsidRDefault="001A3FB4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7615F5" w:rsidRPr="00390E96">
              <w:rPr>
                <w:rFonts w:ascii="Tahoma" w:hAnsi="Tahoma" w:cs="Tahoma"/>
                <w:sz w:val="22"/>
                <w:szCs w:val="22"/>
              </w:rPr>
              <w:t>0000 - 411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7615F5" w:rsidRPr="00390E96" w:rsidRDefault="007615F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13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011</w:t>
            </w:r>
          </w:p>
        </w:tc>
      </w:tr>
      <w:tr w:rsidR="007615F5" w:rsidTr="002C7E4F">
        <w:tc>
          <w:tcPr>
            <w:tcW w:w="2265" w:type="dxa"/>
          </w:tcPr>
          <w:p w:rsidR="007615F5" w:rsidRPr="00390E96" w:rsidRDefault="007615F5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7615F5" w:rsidRPr="00390E96" w:rsidRDefault="007615F5" w:rsidP="002C7E4F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7615F5" w:rsidRPr="00390E96" w:rsidRDefault="00EF344B" w:rsidP="001A3FB4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</w:t>
            </w:r>
            <w:proofErr w:type="spellEnd"/>
            <w:r w:rsidR="007615F5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 xml:space="preserve">– </w:t>
            </w: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  <w:r w:rsidR="001A3FB4" w:rsidRPr="00390E96">
              <w:rPr>
                <w:rFonts w:ascii="Tahoma" w:hAnsi="Tahoma" w:cs="Tahoma"/>
                <w:sz w:val="22"/>
                <w:szCs w:val="22"/>
              </w:rPr>
              <w:t xml:space="preserve"> -</w:t>
            </w:r>
            <w:r w:rsidR="007615F5" w:rsidRPr="00390E96">
              <w:rPr>
                <w:rFonts w:ascii="Tahoma" w:hAnsi="Tahoma" w:cs="Tahoma"/>
                <w:sz w:val="22"/>
                <w:szCs w:val="22"/>
              </w:rPr>
              <w:t xml:space="preserve"> 5xxx    </w:t>
            </w:r>
          </w:p>
        </w:tc>
        <w:tc>
          <w:tcPr>
            <w:tcW w:w="1984" w:type="dxa"/>
          </w:tcPr>
          <w:p w:rsidR="007615F5" w:rsidRPr="00390E96" w:rsidRDefault="007615F5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ÚZ  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13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011</w:t>
            </w:r>
          </w:p>
        </w:tc>
      </w:tr>
    </w:tbl>
    <w:p w:rsidR="00EF344B" w:rsidRPr="00390E96" w:rsidRDefault="00EF344B" w:rsidP="00EF344B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49 ve výši  62.478,00 Kč</w:t>
      </w:r>
    </w:p>
    <w:p w:rsidR="00EF344B" w:rsidRPr="00390E96" w:rsidRDefault="00EF344B" w:rsidP="00EF344B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Snížení příspěvku a jeho použití na zajištění výkonu sociální práce v roce 2020 a to v souladu s Rozhodnutím o poskytnutí dotace na rok 2020 (schválený rozpočet: 1.129.072,00 Kč, skutečná výše </w:t>
      </w:r>
      <w:r w:rsidR="00976980" w:rsidRPr="00390E96">
        <w:rPr>
          <w:rFonts w:ascii="Tahoma" w:hAnsi="Tahoma" w:cs="Tahoma"/>
        </w:rPr>
        <w:t>příspěvku</w:t>
      </w:r>
      <w:r w:rsidRPr="00390E96">
        <w:rPr>
          <w:rFonts w:ascii="Tahoma" w:hAnsi="Tahoma" w:cs="Tahoma"/>
        </w:rPr>
        <w:t>: 1.066.594,00 Kč).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F344B" w:rsidTr="002C7E4F">
        <w:tc>
          <w:tcPr>
            <w:tcW w:w="2265" w:type="dxa"/>
          </w:tcPr>
          <w:p w:rsidR="00EF344B" w:rsidRPr="00390E96" w:rsidRDefault="00EF344B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EF344B" w:rsidRPr="00390E96" w:rsidRDefault="00EF344B" w:rsidP="002C7E4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EF344B" w:rsidRPr="00390E96" w:rsidRDefault="001A3FB4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EF344B" w:rsidRPr="00390E96">
              <w:rPr>
                <w:rFonts w:ascii="Tahoma" w:hAnsi="Tahoma" w:cs="Tahoma"/>
                <w:sz w:val="22"/>
                <w:szCs w:val="22"/>
              </w:rPr>
              <w:t>0000 - 4116</w:t>
            </w:r>
          </w:p>
        </w:tc>
        <w:tc>
          <w:tcPr>
            <w:tcW w:w="1984" w:type="dxa"/>
          </w:tcPr>
          <w:p w:rsidR="00EF344B" w:rsidRPr="00390E96" w:rsidRDefault="00EF344B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ÚZ  13 015</w:t>
            </w:r>
          </w:p>
        </w:tc>
      </w:tr>
      <w:tr w:rsidR="00EF344B" w:rsidTr="002C7E4F">
        <w:tc>
          <w:tcPr>
            <w:tcW w:w="2265" w:type="dxa"/>
          </w:tcPr>
          <w:p w:rsidR="00EF344B" w:rsidRPr="00390E96" w:rsidRDefault="00EF344B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EF344B" w:rsidRPr="00390E96" w:rsidRDefault="00EF344B" w:rsidP="002C7E4F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EF344B" w:rsidRPr="00390E96" w:rsidRDefault="00EF344B" w:rsidP="001A3FB4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Pr="00390E96">
              <w:rPr>
                <w:rFonts w:ascii="Tahoma" w:hAnsi="Tahoma" w:cs="Tahoma"/>
                <w:sz w:val="22"/>
                <w:szCs w:val="22"/>
              </w:rPr>
              <w:t xml:space="preserve"> 5xxx    </w:t>
            </w:r>
          </w:p>
        </w:tc>
        <w:tc>
          <w:tcPr>
            <w:tcW w:w="1984" w:type="dxa"/>
          </w:tcPr>
          <w:p w:rsidR="00EF344B" w:rsidRPr="00390E96" w:rsidRDefault="00EF344B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ÚZ  13 015</w:t>
            </w:r>
          </w:p>
        </w:tc>
      </w:tr>
    </w:tbl>
    <w:p w:rsidR="00976980" w:rsidRDefault="00976980" w:rsidP="00EA461B">
      <w:pPr>
        <w:pStyle w:val="Zkladntext2"/>
        <w:rPr>
          <w:rFonts w:ascii="Tahoma" w:hAnsi="Tahoma" w:cs="Tahoma"/>
          <w:sz w:val="20"/>
          <w:szCs w:val="20"/>
        </w:rPr>
      </w:pPr>
    </w:p>
    <w:p w:rsidR="00EA461B" w:rsidRPr="00390E96" w:rsidRDefault="00EA461B" w:rsidP="00EA461B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50 ve výši  250.000,00 Kč</w:t>
      </w:r>
    </w:p>
    <w:p w:rsidR="00EA461B" w:rsidRPr="00390E96" w:rsidRDefault="00EA461B" w:rsidP="00EA461B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Přesun finančních prostředků v rámci rozpočtu </w:t>
      </w:r>
      <w:r w:rsidR="001A3FB4" w:rsidRPr="00390E96">
        <w:rPr>
          <w:rFonts w:ascii="Tahoma" w:hAnsi="Tahoma" w:cs="Tahoma"/>
        </w:rPr>
        <w:t>personálních</w:t>
      </w:r>
      <w:r w:rsidRPr="00390E96">
        <w:rPr>
          <w:rFonts w:ascii="Tahoma" w:hAnsi="Tahoma" w:cs="Tahoma"/>
        </w:rPr>
        <w:t xml:space="preserve"> výdajů z položky platy na položku náhrady mezd v době nemoci. K nárůstu náhrad v době nemoci došlo v souvislosti s epidemií COVID-19 (schválený rozpočet: 350.000,00 Kč, čerpání k </w:t>
      </w:r>
      <w:proofErr w:type="gramStart"/>
      <w:r w:rsidRPr="00390E96">
        <w:rPr>
          <w:rFonts w:ascii="Tahoma" w:hAnsi="Tahoma" w:cs="Tahoma"/>
        </w:rPr>
        <w:t>31.08.: 338.000,00</w:t>
      </w:r>
      <w:proofErr w:type="gramEnd"/>
      <w:r w:rsidRPr="00390E96">
        <w:rPr>
          <w:rFonts w:ascii="Tahoma" w:hAnsi="Tahoma" w:cs="Tahoma"/>
        </w:rPr>
        <w:t xml:space="preserve"> Kč).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A461B" w:rsidRPr="00390E96" w:rsidTr="002C7E4F">
        <w:tc>
          <w:tcPr>
            <w:tcW w:w="2265" w:type="dxa"/>
          </w:tcPr>
          <w:p w:rsidR="00EA461B" w:rsidRPr="00390E96" w:rsidRDefault="00EA461B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EA461B" w:rsidRPr="00390E96" w:rsidRDefault="001A3FB4" w:rsidP="002C7E4F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EA461B" w:rsidRPr="00390E96" w:rsidRDefault="001A3FB4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101 - 6171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 w:rsidRPr="00390E96">
              <w:rPr>
                <w:rFonts w:ascii="Tahoma" w:hAnsi="Tahoma" w:cs="Tahoma"/>
                <w:sz w:val="22"/>
                <w:szCs w:val="22"/>
              </w:rPr>
              <w:t>5424</w:t>
            </w:r>
          </w:p>
        </w:tc>
        <w:tc>
          <w:tcPr>
            <w:tcW w:w="1984" w:type="dxa"/>
          </w:tcPr>
          <w:p w:rsidR="00EA461B" w:rsidRPr="00390E96" w:rsidRDefault="001A3FB4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+ 250.000,00</w:t>
            </w:r>
          </w:p>
        </w:tc>
      </w:tr>
      <w:tr w:rsidR="00EA461B" w:rsidRPr="00390E96" w:rsidTr="002C7E4F">
        <w:tc>
          <w:tcPr>
            <w:tcW w:w="2265" w:type="dxa"/>
          </w:tcPr>
          <w:p w:rsidR="00EA461B" w:rsidRPr="00390E96" w:rsidRDefault="00EA461B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EA461B" w:rsidRPr="00390E96" w:rsidRDefault="00EA461B" w:rsidP="002C7E4F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EA461B" w:rsidRPr="00390E96" w:rsidRDefault="001A3FB4" w:rsidP="001A3FB4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101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90E96">
              <w:rPr>
                <w:rFonts w:ascii="Tahoma" w:hAnsi="Tahoma" w:cs="Tahoma"/>
                <w:sz w:val="22"/>
                <w:szCs w:val="22"/>
              </w:rPr>
              <w:t>6171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5</w:t>
            </w:r>
            <w:r w:rsidRPr="00390E96">
              <w:rPr>
                <w:rFonts w:ascii="Tahoma" w:hAnsi="Tahoma" w:cs="Tahoma"/>
                <w:sz w:val="22"/>
                <w:szCs w:val="22"/>
              </w:rPr>
              <w:t>011</w:t>
            </w:r>
            <w:r w:rsidR="00EA461B" w:rsidRPr="00390E96">
              <w:rPr>
                <w:rFonts w:ascii="Tahoma" w:hAnsi="Tahoma" w:cs="Tahoma"/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</w:tcPr>
          <w:p w:rsidR="00EA461B" w:rsidRPr="00390E96" w:rsidRDefault="00976980" w:rsidP="00976980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A3FB4" w:rsidRPr="00390E96">
              <w:rPr>
                <w:rFonts w:ascii="Tahoma" w:hAnsi="Tahoma" w:cs="Tahoma"/>
                <w:sz w:val="22"/>
                <w:szCs w:val="22"/>
              </w:rPr>
              <w:t>- 250.000,00</w:t>
            </w:r>
          </w:p>
        </w:tc>
      </w:tr>
    </w:tbl>
    <w:p w:rsidR="00454311" w:rsidRDefault="00454311" w:rsidP="00976980">
      <w:pPr>
        <w:pStyle w:val="Zkladntext2"/>
        <w:rPr>
          <w:rFonts w:ascii="Tahoma" w:hAnsi="Tahoma" w:cs="Tahoma"/>
          <w:sz w:val="20"/>
          <w:szCs w:val="20"/>
        </w:rPr>
      </w:pPr>
    </w:p>
    <w:p w:rsidR="00B60881" w:rsidRPr="00390E96" w:rsidRDefault="00B60881" w:rsidP="00B60881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51 ve výši  5.000,00 Kč</w:t>
      </w:r>
    </w:p>
    <w:p w:rsidR="00B60881" w:rsidRPr="00390E96" w:rsidRDefault="00B60881" w:rsidP="00B60881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>Navýšení rozpočtu sociálního odboru na poskytnutí individuální dotace Oblastní charitě Strakonice</w:t>
      </w:r>
      <w:r w:rsidR="00BE1F88" w:rsidRPr="00390E96">
        <w:rPr>
          <w:rFonts w:ascii="Tahoma" w:hAnsi="Tahoma" w:cs="Tahoma"/>
        </w:rPr>
        <w:t xml:space="preserve"> (viz materiál sociálního odboru č. 21/07)</w:t>
      </w:r>
      <w:r w:rsidRPr="00390E96">
        <w:rPr>
          <w:rFonts w:ascii="Tahoma" w:hAnsi="Tahoma" w:cs="Tahoma"/>
        </w:rPr>
        <w:t>.</w:t>
      </w:r>
      <w:r w:rsidR="00BE1F88" w:rsidRPr="00390E96">
        <w:rPr>
          <w:rFonts w:ascii="Tahoma" w:hAnsi="Tahoma" w:cs="Tahoma"/>
        </w:rPr>
        <w:t xml:space="preserve"> Rozpočtové opatření bude kryto prostředky minulých let.</w:t>
      </w:r>
      <w:r w:rsidR="00DC2DB0" w:rsidRPr="00390E96">
        <w:rPr>
          <w:rFonts w:ascii="Tahoma" w:hAnsi="Tahoma" w:cs="Tahoma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317"/>
        <w:gridCol w:w="2552"/>
        <w:gridCol w:w="1984"/>
      </w:tblGrid>
      <w:tr w:rsidR="00B60881" w:rsidRPr="00390E96" w:rsidTr="005E0ACB">
        <w:tc>
          <w:tcPr>
            <w:tcW w:w="2265" w:type="dxa"/>
          </w:tcPr>
          <w:p w:rsidR="00B60881" w:rsidRPr="00390E96" w:rsidRDefault="00B60881" w:rsidP="005E0ACB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B60881" w:rsidRPr="00390E96" w:rsidRDefault="00B60881" w:rsidP="005E0ACB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B60881" w:rsidRPr="00390E96" w:rsidRDefault="00BE1F88" w:rsidP="005E0ACB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300</w:t>
            </w:r>
            <w:r w:rsidR="00B60881" w:rsidRPr="00390E96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 w:rsidRPr="00390E96">
              <w:rPr>
                <w:rFonts w:ascii="Tahoma" w:hAnsi="Tahoma" w:cs="Tahoma"/>
                <w:sz w:val="22"/>
                <w:szCs w:val="22"/>
              </w:rPr>
              <w:t>3900</w:t>
            </w:r>
            <w:r w:rsidR="00B60881" w:rsidRPr="00390E96">
              <w:rPr>
                <w:rFonts w:ascii="Tahoma" w:hAnsi="Tahoma" w:cs="Tahoma"/>
                <w:sz w:val="22"/>
                <w:szCs w:val="22"/>
              </w:rPr>
              <w:t xml:space="preserve"> - 5</w:t>
            </w:r>
            <w:r w:rsidRPr="00390E96">
              <w:rPr>
                <w:rFonts w:ascii="Tahoma" w:hAnsi="Tahoma" w:cs="Tahoma"/>
                <w:sz w:val="22"/>
                <w:szCs w:val="22"/>
              </w:rPr>
              <w:t>223</w:t>
            </w:r>
          </w:p>
        </w:tc>
        <w:tc>
          <w:tcPr>
            <w:tcW w:w="1984" w:type="dxa"/>
          </w:tcPr>
          <w:p w:rsidR="00B60881" w:rsidRPr="00390E96" w:rsidRDefault="00B60881" w:rsidP="005E0AC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60881" w:rsidRPr="00390E96" w:rsidTr="005E0ACB">
        <w:tc>
          <w:tcPr>
            <w:tcW w:w="2265" w:type="dxa"/>
          </w:tcPr>
          <w:p w:rsidR="00B60881" w:rsidRPr="00390E96" w:rsidRDefault="00B60881" w:rsidP="005E0AC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B60881" w:rsidRPr="00390E96" w:rsidRDefault="00BE1F88" w:rsidP="00BE1F88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552" w:type="dxa"/>
          </w:tcPr>
          <w:p w:rsidR="00B60881" w:rsidRPr="00390E96" w:rsidRDefault="00BE1F88" w:rsidP="00BE1F88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 xml:space="preserve">                   8115</w:t>
            </w:r>
            <w:r w:rsidR="00B60881" w:rsidRPr="00390E96">
              <w:rPr>
                <w:rFonts w:ascii="Tahoma" w:hAnsi="Tahoma" w:cs="Tahoma"/>
                <w:sz w:val="22"/>
                <w:szCs w:val="22"/>
              </w:rPr>
              <w:t xml:space="preserve">    </w:t>
            </w:r>
          </w:p>
        </w:tc>
        <w:tc>
          <w:tcPr>
            <w:tcW w:w="1984" w:type="dxa"/>
          </w:tcPr>
          <w:p w:rsidR="00B60881" w:rsidRPr="00390E96" w:rsidRDefault="00B60881" w:rsidP="005E0AC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60881" w:rsidRPr="00390E96" w:rsidRDefault="00B60881" w:rsidP="00976980">
      <w:pPr>
        <w:pStyle w:val="Zkladntext2"/>
        <w:rPr>
          <w:rFonts w:ascii="Tahoma" w:hAnsi="Tahoma" w:cs="Tahoma"/>
          <w:sz w:val="22"/>
          <w:szCs w:val="22"/>
        </w:rPr>
      </w:pPr>
    </w:p>
    <w:p w:rsidR="00976980" w:rsidRPr="00390E96" w:rsidRDefault="00976980" w:rsidP="00976980">
      <w:pPr>
        <w:pStyle w:val="Zkladntext2"/>
        <w:rPr>
          <w:rFonts w:ascii="Tahoma" w:hAnsi="Tahoma" w:cs="Tahoma"/>
        </w:rPr>
      </w:pPr>
      <w:r w:rsidRPr="00390E96">
        <w:rPr>
          <w:rFonts w:ascii="Tahoma" w:hAnsi="Tahoma" w:cs="Tahoma"/>
        </w:rPr>
        <w:t>RO  č. 5</w:t>
      </w:r>
      <w:r w:rsidR="00B60881" w:rsidRPr="00390E96">
        <w:rPr>
          <w:rFonts w:ascii="Tahoma" w:hAnsi="Tahoma" w:cs="Tahoma"/>
        </w:rPr>
        <w:t>2</w:t>
      </w:r>
      <w:r w:rsidRPr="00390E96">
        <w:rPr>
          <w:rFonts w:ascii="Tahoma" w:hAnsi="Tahoma" w:cs="Tahoma"/>
        </w:rPr>
        <w:t xml:space="preserve"> ve výši  250.000,00 Kč</w:t>
      </w:r>
    </w:p>
    <w:p w:rsidR="00976980" w:rsidRPr="00390E96" w:rsidRDefault="00976980" w:rsidP="00976980">
      <w:pPr>
        <w:spacing w:after="120"/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Investiční příspěvek příspěvkové organizaci Základní škola Dukelská, Strakonice na pořízení </w:t>
      </w:r>
      <w:proofErr w:type="spellStart"/>
      <w:r w:rsidRPr="00390E96">
        <w:rPr>
          <w:rFonts w:ascii="Tahoma" w:hAnsi="Tahoma" w:cs="Tahoma"/>
        </w:rPr>
        <w:t>konvektomatu</w:t>
      </w:r>
      <w:proofErr w:type="spellEnd"/>
      <w:r w:rsidRPr="00390E96">
        <w:rPr>
          <w:rFonts w:ascii="Tahoma" w:hAnsi="Tahoma" w:cs="Tahoma"/>
        </w:rPr>
        <w:t xml:space="preserve"> do školní jídelny</w:t>
      </w:r>
      <w:r w:rsidR="00454311" w:rsidRPr="00390E96">
        <w:rPr>
          <w:rFonts w:ascii="Tahoma" w:hAnsi="Tahoma" w:cs="Tahoma"/>
        </w:rPr>
        <w:t>, který je nutný k zajištění vydávání teplých pokrmů ve školní jídelně</w:t>
      </w:r>
      <w:r w:rsidRPr="00390E96">
        <w:rPr>
          <w:rFonts w:ascii="Tahoma" w:hAnsi="Tahoma" w:cs="Tahoma"/>
        </w:rPr>
        <w:t xml:space="preserve">. </w:t>
      </w:r>
      <w:r w:rsidR="00454311" w:rsidRPr="00390E96">
        <w:rPr>
          <w:rFonts w:ascii="Tahoma" w:hAnsi="Tahoma" w:cs="Tahoma"/>
        </w:rPr>
        <w:t xml:space="preserve">Stávající </w:t>
      </w:r>
      <w:proofErr w:type="spellStart"/>
      <w:r w:rsidR="00454311" w:rsidRPr="00390E96">
        <w:rPr>
          <w:rFonts w:ascii="Tahoma" w:hAnsi="Tahoma" w:cs="Tahoma"/>
        </w:rPr>
        <w:t>konvektomat</w:t>
      </w:r>
      <w:proofErr w:type="spellEnd"/>
      <w:r w:rsidR="00454311" w:rsidRPr="00390E96">
        <w:rPr>
          <w:rFonts w:ascii="Tahoma" w:hAnsi="Tahoma" w:cs="Tahoma"/>
        </w:rPr>
        <w:t xml:space="preserve"> byl pořízen v roce 1999, </w:t>
      </w:r>
      <w:r w:rsidR="00B13A96" w:rsidRPr="00390E96">
        <w:rPr>
          <w:rFonts w:ascii="Tahoma" w:hAnsi="Tahoma" w:cs="Tahoma"/>
        </w:rPr>
        <w:t>v současné době je již neopravitelný.</w:t>
      </w:r>
      <w:r w:rsidR="0007117A" w:rsidRPr="00390E96">
        <w:rPr>
          <w:rFonts w:ascii="Tahoma" w:hAnsi="Tahoma" w:cs="Tahoma"/>
        </w:rPr>
        <w:t xml:space="preserve"> Celková pořizovací cena činí max. 545.000,00 Kč, organizace si část ceny pokryje ze svých zdrojů.</w:t>
      </w:r>
      <w:r w:rsidR="00B13A96" w:rsidRPr="00390E96">
        <w:rPr>
          <w:rFonts w:ascii="Tahoma" w:hAnsi="Tahoma" w:cs="Tahoma"/>
        </w:rPr>
        <w:t xml:space="preserve"> </w:t>
      </w:r>
      <w:r w:rsidR="00454311" w:rsidRPr="00390E96">
        <w:rPr>
          <w:rFonts w:ascii="Tahoma" w:hAnsi="Tahoma" w:cs="Tahoma"/>
        </w:rPr>
        <w:t>Rozpočtové opatření bude kryto vratkami příspěvkových organizací města do rozpočtu zřizovatele ve výši nedočerpaných účelových prostředků za rok  2019.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976980" w:rsidTr="002C7E4F">
        <w:tc>
          <w:tcPr>
            <w:tcW w:w="2265" w:type="dxa"/>
          </w:tcPr>
          <w:p w:rsidR="00976980" w:rsidRPr="00390E96" w:rsidRDefault="00976980" w:rsidP="002C7E4F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976980" w:rsidRPr="00390E96" w:rsidRDefault="00454311" w:rsidP="00454311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976980" w:rsidRPr="00390E96" w:rsidRDefault="00454311" w:rsidP="00454311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1321</w:t>
            </w:r>
            <w:r w:rsidR="00976980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90E96">
              <w:rPr>
                <w:rFonts w:ascii="Tahoma" w:hAnsi="Tahoma" w:cs="Tahoma"/>
                <w:sz w:val="22"/>
                <w:szCs w:val="22"/>
              </w:rPr>
              <w:t>-</w:t>
            </w:r>
            <w:r w:rsidR="00976980" w:rsidRPr="00390E9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390E96">
              <w:rPr>
                <w:rFonts w:ascii="Tahoma" w:hAnsi="Tahoma" w:cs="Tahoma"/>
                <w:sz w:val="22"/>
                <w:szCs w:val="22"/>
              </w:rPr>
              <w:t>3113 - 6351</w:t>
            </w:r>
          </w:p>
        </w:tc>
        <w:tc>
          <w:tcPr>
            <w:tcW w:w="1984" w:type="dxa"/>
          </w:tcPr>
          <w:p w:rsidR="00976980" w:rsidRDefault="00976980" w:rsidP="002C7E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6980" w:rsidTr="002C7E4F">
        <w:tc>
          <w:tcPr>
            <w:tcW w:w="2265" w:type="dxa"/>
          </w:tcPr>
          <w:p w:rsidR="00976980" w:rsidRPr="00390E96" w:rsidRDefault="00976980" w:rsidP="002C7E4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976980" w:rsidRPr="00390E96" w:rsidRDefault="00454311" w:rsidP="00454311">
            <w:pPr>
              <w:rPr>
                <w:rFonts w:ascii="Tahoma" w:hAnsi="Tahoma" w:cs="Tahoma"/>
                <w:sz w:val="22"/>
                <w:szCs w:val="22"/>
              </w:rPr>
            </w:pPr>
            <w:r w:rsidRPr="00390E96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976980" w:rsidRPr="00390E96" w:rsidRDefault="00454311" w:rsidP="00454311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390E96"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  <w:r w:rsidRPr="00390E96">
              <w:rPr>
                <w:rFonts w:ascii="Tahoma" w:hAnsi="Tahoma" w:cs="Tahoma"/>
                <w:sz w:val="22"/>
                <w:szCs w:val="22"/>
              </w:rPr>
              <w:t xml:space="preserve"> - 3xxx - 2229      </w:t>
            </w:r>
            <w:r w:rsidR="00976980" w:rsidRPr="00390E96">
              <w:rPr>
                <w:rFonts w:ascii="Tahoma" w:hAnsi="Tahoma" w:cs="Tahoma"/>
                <w:sz w:val="22"/>
                <w:szCs w:val="22"/>
              </w:rPr>
              <w:t xml:space="preserve">   </w:t>
            </w:r>
          </w:p>
        </w:tc>
        <w:tc>
          <w:tcPr>
            <w:tcW w:w="1984" w:type="dxa"/>
          </w:tcPr>
          <w:p w:rsidR="00976980" w:rsidRDefault="00976980" w:rsidP="002C7E4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25C47" w:rsidRDefault="00625C47" w:rsidP="00625C47">
      <w:pPr>
        <w:jc w:val="both"/>
      </w:pPr>
    </w:p>
    <w:p w:rsidR="0007117A" w:rsidRDefault="0007117A" w:rsidP="00625C47">
      <w:pPr>
        <w:jc w:val="both"/>
      </w:pPr>
    </w:p>
    <w:p w:rsidR="00C920F7" w:rsidRPr="00390E96" w:rsidRDefault="00B13A96" w:rsidP="00390E96">
      <w:pPr>
        <w:pStyle w:val="Nadpis2"/>
        <w:numPr>
          <w:ilvl w:val="0"/>
          <w:numId w:val="0"/>
        </w:numPr>
        <w:rPr>
          <w:rFonts w:ascii="Tahoma" w:hAnsi="Tahoma" w:cs="Tahoma"/>
          <w:sz w:val="24"/>
        </w:rPr>
      </w:pPr>
      <w:r w:rsidRPr="00390E96">
        <w:rPr>
          <w:rFonts w:ascii="Tahoma" w:hAnsi="Tahoma" w:cs="Tahoma"/>
          <w:sz w:val="24"/>
        </w:rPr>
        <w:t>3</w:t>
      </w:r>
      <w:r w:rsidR="00C920F7" w:rsidRPr="00390E96">
        <w:rPr>
          <w:rFonts w:ascii="Tahoma" w:hAnsi="Tahoma" w:cs="Tahoma"/>
          <w:sz w:val="24"/>
        </w:rPr>
        <w:t xml:space="preserve">) </w:t>
      </w:r>
      <w:r w:rsidRPr="00390E96">
        <w:rPr>
          <w:rFonts w:ascii="Tahoma" w:hAnsi="Tahoma" w:cs="Tahoma"/>
          <w:sz w:val="24"/>
        </w:rPr>
        <w:t>ZŠ Dukelská – po</w:t>
      </w:r>
      <w:r w:rsidR="00CD46AA" w:rsidRPr="00390E96">
        <w:rPr>
          <w:rFonts w:ascii="Tahoma" w:hAnsi="Tahoma" w:cs="Tahoma"/>
          <w:sz w:val="24"/>
        </w:rPr>
        <w:t>řízení DHM – použití RF a IF</w:t>
      </w:r>
      <w:r w:rsidRPr="00390E96">
        <w:rPr>
          <w:rFonts w:ascii="Tahoma" w:hAnsi="Tahoma" w:cs="Tahoma"/>
          <w:sz w:val="24"/>
        </w:rPr>
        <w:t xml:space="preserve"> organizace</w:t>
      </w:r>
    </w:p>
    <w:p w:rsidR="00390E96" w:rsidRPr="00390E96" w:rsidRDefault="00390E96" w:rsidP="00390E96">
      <w:pPr>
        <w:rPr>
          <w:rFonts w:ascii="Tahoma" w:hAnsi="Tahoma" w:cs="Tahoma"/>
        </w:rPr>
      </w:pPr>
    </w:p>
    <w:p w:rsidR="00C920F7" w:rsidRPr="00390E96" w:rsidRDefault="00C920F7" w:rsidP="00C920F7">
      <w:pPr>
        <w:jc w:val="both"/>
        <w:rPr>
          <w:rFonts w:ascii="Tahoma" w:hAnsi="Tahoma" w:cs="Tahoma"/>
          <w:b/>
          <w:u w:val="single"/>
        </w:rPr>
      </w:pPr>
      <w:r w:rsidRPr="00390E96">
        <w:rPr>
          <w:rFonts w:ascii="Tahoma" w:hAnsi="Tahoma" w:cs="Tahoma"/>
          <w:b/>
          <w:u w:val="single"/>
        </w:rPr>
        <w:t>Návrh usnesení:</w:t>
      </w:r>
    </w:p>
    <w:p w:rsidR="0007117A" w:rsidRPr="00390E96" w:rsidRDefault="00C920F7" w:rsidP="00C920F7">
      <w:pPr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RM pro projednání </w:t>
      </w:r>
    </w:p>
    <w:p w:rsidR="00C920F7" w:rsidRPr="00390E96" w:rsidRDefault="00C920F7" w:rsidP="00C920F7">
      <w:pPr>
        <w:pStyle w:val="Nadpis3"/>
        <w:rPr>
          <w:rFonts w:ascii="Tahoma" w:hAnsi="Tahoma" w:cs="Tahoma"/>
          <w:szCs w:val="24"/>
        </w:rPr>
      </w:pPr>
      <w:r w:rsidRPr="00390E96">
        <w:rPr>
          <w:rFonts w:ascii="Tahoma" w:hAnsi="Tahoma" w:cs="Tahoma"/>
          <w:szCs w:val="24"/>
        </w:rPr>
        <w:t>I. Souhlasí</w:t>
      </w:r>
    </w:p>
    <w:p w:rsidR="004A070A" w:rsidRPr="00390E96" w:rsidRDefault="002A5365" w:rsidP="004A070A">
      <w:pPr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s pořízením </w:t>
      </w:r>
      <w:proofErr w:type="spellStart"/>
      <w:r w:rsidRPr="00390E96">
        <w:rPr>
          <w:rFonts w:ascii="Tahoma" w:hAnsi="Tahoma" w:cs="Tahoma"/>
        </w:rPr>
        <w:t>konvektomatu</w:t>
      </w:r>
      <w:proofErr w:type="spellEnd"/>
      <w:r w:rsidRPr="00390E96">
        <w:rPr>
          <w:rFonts w:ascii="Tahoma" w:hAnsi="Tahoma" w:cs="Tahoma"/>
        </w:rPr>
        <w:t xml:space="preserve"> příspěvkovou organizací ZŠ Dukelská, Strakonice v max. výši </w:t>
      </w:r>
      <w:r w:rsidRPr="00390E96">
        <w:rPr>
          <w:rFonts w:ascii="Tahoma" w:hAnsi="Tahoma" w:cs="Tahoma"/>
          <w:b/>
        </w:rPr>
        <w:t>545.000,00 Kč</w:t>
      </w:r>
      <w:r w:rsidRPr="00390E96">
        <w:rPr>
          <w:rFonts w:ascii="Tahoma" w:hAnsi="Tahoma" w:cs="Tahoma"/>
        </w:rPr>
        <w:t>.</w:t>
      </w:r>
      <w:r w:rsidR="004A070A" w:rsidRPr="00390E96">
        <w:rPr>
          <w:rFonts w:ascii="Tahoma" w:hAnsi="Tahoma" w:cs="Tahoma"/>
        </w:rPr>
        <w:t xml:space="preserve"> </w:t>
      </w:r>
      <w:r w:rsidR="00AA25A9" w:rsidRPr="00390E96">
        <w:rPr>
          <w:rFonts w:ascii="Tahoma" w:hAnsi="Tahoma" w:cs="Tahoma"/>
        </w:rPr>
        <w:t>Financování pořízení</w:t>
      </w:r>
      <w:r w:rsidR="004A070A" w:rsidRPr="00390E96">
        <w:rPr>
          <w:rFonts w:ascii="Tahoma" w:hAnsi="Tahoma" w:cs="Tahoma"/>
        </w:rPr>
        <w:t xml:space="preserve"> majetku bude </w:t>
      </w:r>
      <w:r w:rsidR="00AA25A9" w:rsidRPr="00390E96">
        <w:rPr>
          <w:rFonts w:ascii="Tahoma" w:hAnsi="Tahoma" w:cs="Tahoma"/>
        </w:rPr>
        <w:t>následující</w:t>
      </w:r>
      <w:r w:rsidR="004A070A" w:rsidRPr="00390E96">
        <w:rPr>
          <w:rFonts w:ascii="Tahoma" w:hAnsi="Tahoma" w:cs="Tahoma"/>
        </w:rPr>
        <w:t>: 250.000,00 Kč – investiční příspěvek zřizovatele (viz RO č. 5</w:t>
      </w:r>
      <w:r w:rsidR="0007117A" w:rsidRPr="00390E96">
        <w:rPr>
          <w:rFonts w:ascii="Tahoma" w:hAnsi="Tahoma" w:cs="Tahoma"/>
        </w:rPr>
        <w:t>2</w:t>
      </w:r>
      <w:r w:rsidR="004A070A" w:rsidRPr="00390E96">
        <w:rPr>
          <w:rFonts w:ascii="Tahoma" w:hAnsi="Tahoma" w:cs="Tahoma"/>
        </w:rPr>
        <w:t>), 148.000,00 Kč</w:t>
      </w:r>
      <w:r w:rsidR="00DC2DB0" w:rsidRPr="00390E96">
        <w:rPr>
          <w:rFonts w:ascii="Tahoma" w:hAnsi="Tahoma" w:cs="Tahoma"/>
        </w:rPr>
        <w:t xml:space="preserve"> – převod z rezervního fondu do</w:t>
      </w:r>
      <w:r w:rsidR="004A070A" w:rsidRPr="00390E96">
        <w:rPr>
          <w:rFonts w:ascii="Tahoma" w:hAnsi="Tahoma" w:cs="Tahoma"/>
        </w:rPr>
        <w:t xml:space="preserve"> </w:t>
      </w:r>
      <w:r w:rsidR="00DC2DB0" w:rsidRPr="00390E96">
        <w:rPr>
          <w:rFonts w:ascii="Tahoma" w:hAnsi="Tahoma" w:cs="Tahoma"/>
        </w:rPr>
        <w:t xml:space="preserve">fondu </w:t>
      </w:r>
      <w:r w:rsidR="004A070A" w:rsidRPr="00390E96">
        <w:rPr>
          <w:rFonts w:ascii="Tahoma" w:hAnsi="Tahoma" w:cs="Tahoma"/>
        </w:rPr>
        <w:t>investičního, zbývající část (max. 147.000,00 Kč)</w:t>
      </w:r>
      <w:r w:rsidR="00BE1F88" w:rsidRPr="00390E96">
        <w:rPr>
          <w:rFonts w:ascii="Tahoma" w:hAnsi="Tahoma" w:cs="Tahoma"/>
        </w:rPr>
        <w:t xml:space="preserve"> –</w:t>
      </w:r>
      <w:r w:rsidR="004A070A" w:rsidRPr="00390E96">
        <w:rPr>
          <w:rFonts w:ascii="Tahoma" w:hAnsi="Tahoma" w:cs="Tahoma"/>
        </w:rPr>
        <w:t xml:space="preserve"> uhrazen</w:t>
      </w:r>
      <w:r w:rsidR="00BE1F88" w:rsidRPr="00390E96">
        <w:rPr>
          <w:rFonts w:ascii="Tahoma" w:hAnsi="Tahoma" w:cs="Tahoma"/>
        </w:rPr>
        <w:t>o</w:t>
      </w:r>
      <w:r w:rsidR="004A070A" w:rsidRPr="00390E96">
        <w:rPr>
          <w:rFonts w:ascii="Tahoma" w:hAnsi="Tahoma" w:cs="Tahoma"/>
        </w:rPr>
        <w:t xml:space="preserve"> z investičního fondu organizace.</w:t>
      </w:r>
    </w:p>
    <w:p w:rsidR="0007117A" w:rsidRPr="00390E96" w:rsidRDefault="0007117A" w:rsidP="004A070A">
      <w:pPr>
        <w:jc w:val="both"/>
        <w:rPr>
          <w:rFonts w:ascii="Tahoma" w:hAnsi="Tahoma" w:cs="Tahoma"/>
        </w:rPr>
      </w:pPr>
    </w:p>
    <w:p w:rsidR="0028044D" w:rsidRPr="00390E96" w:rsidRDefault="0028044D" w:rsidP="0028044D">
      <w:pPr>
        <w:pStyle w:val="Nadpis2"/>
        <w:numPr>
          <w:ilvl w:val="0"/>
          <w:numId w:val="0"/>
        </w:numPr>
        <w:rPr>
          <w:rFonts w:ascii="Tahoma" w:hAnsi="Tahoma" w:cs="Tahoma"/>
          <w:sz w:val="24"/>
        </w:rPr>
      </w:pPr>
      <w:r w:rsidRPr="00390E96">
        <w:rPr>
          <w:rFonts w:ascii="Tahoma" w:hAnsi="Tahoma" w:cs="Tahoma"/>
          <w:sz w:val="24"/>
        </w:rPr>
        <w:t>4) ZŠ Krále Jiřího z Poděbrad – změna použití IF</w:t>
      </w:r>
    </w:p>
    <w:p w:rsidR="0028044D" w:rsidRPr="00390E96" w:rsidRDefault="0028044D" w:rsidP="0028044D">
      <w:pPr>
        <w:jc w:val="both"/>
        <w:rPr>
          <w:rFonts w:ascii="Tahoma" w:hAnsi="Tahoma" w:cs="Tahoma"/>
          <w:i/>
        </w:rPr>
      </w:pPr>
    </w:p>
    <w:p w:rsidR="0028044D" w:rsidRPr="00390E96" w:rsidRDefault="0028044D" w:rsidP="0028044D">
      <w:pPr>
        <w:jc w:val="both"/>
        <w:rPr>
          <w:rFonts w:ascii="Tahoma" w:hAnsi="Tahoma" w:cs="Tahoma"/>
          <w:b/>
          <w:u w:val="single"/>
        </w:rPr>
      </w:pPr>
      <w:r w:rsidRPr="00390E96">
        <w:rPr>
          <w:rFonts w:ascii="Tahoma" w:hAnsi="Tahoma" w:cs="Tahoma"/>
          <w:b/>
          <w:u w:val="single"/>
        </w:rPr>
        <w:t>Návrh usnesení:</w:t>
      </w:r>
    </w:p>
    <w:p w:rsidR="0028044D" w:rsidRPr="00390E96" w:rsidRDefault="0028044D" w:rsidP="00625C47">
      <w:pPr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RM pro projednání </w:t>
      </w:r>
      <w:bookmarkStart w:id="0" w:name="_GoBack"/>
      <w:bookmarkEnd w:id="0"/>
    </w:p>
    <w:p w:rsidR="0028044D" w:rsidRPr="00390E96" w:rsidRDefault="0028044D" w:rsidP="0028044D">
      <w:pPr>
        <w:pStyle w:val="Nadpis3"/>
        <w:rPr>
          <w:rFonts w:ascii="Tahoma" w:hAnsi="Tahoma" w:cs="Tahoma"/>
          <w:szCs w:val="24"/>
        </w:rPr>
      </w:pPr>
      <w:r w:rsidRPr="00390E96">
        <w:rPr>
          <w:rFonts w:ascii="Tahoma" w:hAnsi="Tahoma" w:cs="Tahoma"/>
          <w:szCs w:val="24"/>
        </w:rPr>
        <w:t>I. Souhlasí</w:t>
      </w:r>
    </w:p>
    <w:p w:rsidR="004C4F59" w:rsidRPr="00390E96" w:rsidRDefault="004C4F59" w:rsidP="004C4F59">
      <w:pPr>
        <w:jc w:val="both"/>
        <w:rPr>
          <w:rFonts w:ascii="Tahoma" w:hAnsi="Tahoma" w:cs="Tahoma"/>
        </w:rPr>
      </w:pPr>
      <w:r w:rsidRPr="00390E96">
        <w:rPr>
          <w:rFonts w:ascii="Tahoma" w:hAnsi="Tahoma" w:cs="Tahoma"/>
        </w:rPr>
        <w:t xml:space="preserve">se změnou použití investičního fondu Základní školy Strakonice, Krále Jiřího z Poděbrad 882 z původně schváleného pořízení myčky nádobí ve výši 250.000 Kč (nebude v roce 2020 realizováno) na pořízení kuchyňského robotu do školní jídelny v max. výši </w:t>
      </w:r>
      <w:r w:rsidRPr="00390E96">
        <w:rPr>
          <w:rFonts w:ascii="Tahoma" w:hAnsi="Tahoma" w:cs="Tahoma"/>
          <w:b/>
        </w:rPr>
        <w:t>200.000,00 Kč</w:t>
      </w:r>
      <w:r w:rsidRPr="00390E96">
        <w:rPr>
          <w:rFonts w:ascii="Tahoma" w:hAnsi="Tahoma" w:cs="Tahoma"/>
        </w:rPr>
        <w:t>. Původní robot je nefunkční, jeho oprava již není možná.</w:t>
      </w:r>
    </w:p>
    <w:p w:rsidR="0028044D" w:rsidRPr="00390E96" w:rsidRDefault="0028044D" w:rsidP="00625C47">
      <w:pPr>
        <w:jc w:val="both"/>
        <w:rPr>
          <w:rFonts w:ascii="Tahoma" w:hAnsi="Tahoma" w:cs="Tahoma"/>
        </w:rPr>
      </w:pPr>
    </w:p>
    <w:p w:rsidR="0028044D" w:rsidRPr="00390E96" w:rsidRDefault="0028044D" w:rsidP="0028044D">
      <w:pPr>
        <w:pStyle w:val="Zkladntext3"/>
        <w:rPr>
          <w:rFonts w:ascii="Tahoma" w:hAnsi="Tahoma" w:cs="Tahoma"/>
        </w:rPr>
      </w:pPr>
    </w:p>
    <w:p w:rsidR="0028044D" w:rsidRDefault="0028044D" w:rsidP="00625C47">
      <w:pPr>
        <w:jc w:val="both"/>
      </w:pPr>
    </w:p>
    <w:sectPr w:rsidR="0028044D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A7175"/>
    <w:multiLevelType w:val="hybridMultilevel"/>
    <w:tmpl w:val="C9B22E08"/>
    <w:lvl w:ilvl="0" w:tplc="2F4840D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850C0"/>
    <w:multiLevelType w:val="hybridMultilevel"/>
    <w:tmpl w:val="26C22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2243A"/>
    <w:multiLevelType w:val="hybridMultilevel"/>
    <w:tmpl w:val="F030157C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20748"/>
    <w:multiLevelType w:val="hybridMultilevel"/>
    <w:tmpl w:val="1C7C0EE0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24539E"/>
    <w:multiLevelType w:val="hybridMultilevel"/>
    <w:tmpl w:val="8926FE00"/>
    <w:lvl w:ilvl="0" w:tplc="755CD3A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23376"/>
    <w:multiLevelType w:val="hybridMultilevel"/>
    <w:tmpl w:val="FAA407C0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6"/>
  </w:num>
  <w:num w:numId="5">
    <w:abstractNumId w:val="4"/>
  </w:num>
  <w:num w:numId="6">
    <w:abstractNumId w:val="30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29"/>
  </w:num>
  <w:num w:numId="12">
    <w:abstractNumId w:val="24"/>
  </w:num>
  <w:num w:numId="13">
    <w:abstractNumId w:val="8"/>
  </w:num>
  <w:num w:numId="14">
    <w:abstractNumId w:val="0"/>
  </w:num>
  <w:num w:numId="15">
    <w:abstractNumId w:val="18"/>
  </w:num>
  <w:num w:numId="16">
    <w:abstractNumId w:val="13"/>
  </w:num>
  <w:num w:numId="17">
    <w:abstractNumId w:val="13"/>
  </w:num>
  <w:num w:numId="18">
    <w:abstractNumId w:val="10"/>
  </w:num>
  <w:num w:numId="19">
    <w:abstractNumId w:val="13"/>
  </w:num>
  <w:num w:numId="20">
    <w:abstractNumId w:val="25"/>
  </w:num>
  <w:num w:numId="21">
    <w:abstractNumId w:val="5"/>
  </w:num>
  <w:num w:numId="22">
    <w:abstractNumId w:val="12"/>
  </w:num>
  <w:num w:numId="23">
    <w:abstractNumId w:val="28"/>
  </w:num>
  <w:num w:numId="24">
    <w:abstractNumId w:val="2"/>
  </w:num>
  <w:num w:numId="25">
    <w:abstractNumId w:val="21"/>
  </w:num>
  <w:num w:numId="26">
    <w:abstractNumId w:val="1"/>
  </w:num>
  <w:num w:numId="27">
    <w:abstractNumId w:val="16"/>
  </w:num>
  <w:num w:numId="28">
    <w:abstractNumId w:val="15"/>
  </w:num>
  <w:num w:numId="29">
    <w:abstractNumId w:val="11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4"/>
  </w:num>
  <w:num w:numId="35">
    <w:abstractNumId w:val="7"/>
  </w:num>
  <w:num w:numId="36">
    <w:abstractNumId w:val="22"/>
  </w:num>
  <w:num w:numId="3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12A6A"/>
    <w:rsid w:val="00052A74"/>
    <w:rsid w:val="0007117A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A3FB4"/>
    <w:rsid w:val="001B1D2B"/>
    <w:rsid w:val="001B26EA"/>
    <w:rsid w:val="001B5877"/>
    <w:rsid w:val="001C395E"/>
    <w:rsid w:val="001D2FEC"/>
    <w:rsid w:val="001D7354"/>
    <w:rsid w:val="001D7D25"/>
    <w:rsid w:val="001E7797"/>
    <w:rsid w:val="001E78A6"/>
    <w:rsid w:val="001E7AED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524"/>
    <w:rsid w:val="00264AEC"/>
    <w:rsid w:val="00264E8A"/>
    <w:rsid w:val="00273E3E"/>
    <w:rsid w:val="00275F93"/>
    <w:rsid w:val="0028044D"/>
    <w:rsid w:val="002854D7"/>
    <w:rsid w:val="0029381C"/>
    <w:rsid w:val="00295160"/>
    <w:rsid w:val="002A5365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57EE5"/>
    <w:rsid w:val="00371FB1"/>
    <w:rsid w:val="00372D9E"/>
    <w:rsid w:val="00373578"/>
    <w:rsid w:val="00387BF6"/>
    <w:rsid w:val="00390E55"/>
    <w:rsid w:val="00390E96"/>
    <w:rsid w:val="003A376D"/>
    <w:rsid w:val="003A435A"/>
    <w:rsid w:val="003D4F75"/>
    <w:rsid w:val="003D5DA3"/>
    <w:rsid w:val="003D6CE5"/>
    <w:rsid w:val="003D7601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54311"/>
    <w:rsid w:val="00465923"/>
    <w:rsid w:val="00466796"/>
    <w:rsid w:val="00471F08"/>
    <w:rsid w:val="00473D88"/>
    <w:rsid w:val="00476567"/>
    <w:rsid w:val="00476C6F"/>
    <w:rsid w:val="00496FC3"/>
    <w:rsid w:val="004A070A"/>
    <w:rsid w:val="004B1682"/>
    <w:rsid w:val="004B3CCE"/>
    <w:rsid w:val="004C4F59"/>
    <w:rsid w:val="004C5491"/>
    <w:rsid w:val="004C54C1"/>
    <w:rsid w:val="004F111F"/>
    <w:rsid w:val="004F5290"/>
    <w:rsid w:val="004F6997"/>
    <w:rsid w:val="00503620"/>
    <w:rsid w:val="0050455F"/>
    <w:rsid w:val="00505C01"/>
    <w:rsid w:val="00510677"/>
    <w:rsid w:val="005122D8"/>
    <w:rsid w:val="00513EAE"/>
    <w:rsid w:val="00515C95"/>
    <w:rsid w:val="005254FF"/>
    <w:rsid w:val="005265A1"/>
    <w:rsid w:val="00527B29"/>
    <w:rsid w:val="00533A30"/>
    <w:rsid w:val="00541EB7"/>
    <w:rsid w:val="00554488"/>
    <w:rsid w:val="00555336"/>
    <w:rsid w:val="005553AF"/>
    <w:rsid w:val="00560028"/>
    <w:rsid w:val="005641A9"/>
    <w:rsid w:val="00564F1B"/>
    <w:rsid w:val="00571569"/>
    <w:rsid w:val="0057243F"/>
    <w:rsid w:val="00585045"/>
    <w:rsid w:val="00592B4C"/>
    <w:rsid w:val="00595D65"/>
    <w:rsid w:val="005B2D03"/>
    <w:rsid w:val="005B7652"/>
    <w:rsid w:val="005C069A"/>
    <w:rsid w:val="005C31DE"/>
    <w:rsid w:val="005D076E"/>
    <w:rsid w:val="005D7ACF"/>
    <w:rsid w:val="00614052"/>
    <w:rsid w:val="00620132"/>
    <w:rsid w:val="00625C47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B000A"/>
    <w:rsid w:val="006C0596"/>
    <w:rsid w:val="006C1765"/>
    <w:rsid w:val="006D1768"/>
    <w:rsid w:val="006D27E9"/>
    <w:rsid w:val="006F3E0B"/>
    <w:rsid w:val="00701BBA"/>
    <w:rsid w:val="00702478"/>
    <w:rsid w:val="00710D8B"/>
    <w:rsid w:val="007116A8"/>
    <w:rsid w:val="00716BD9"/>
    <w:rsid w:val="00717DE3"/>
    <w:rsid w:val="007332F5"/>
    <w:rsid w:val="00736BF8"/>
    <w:rsid w:val="00737FA0"/>
    <w:rsid w:val="00742F93"/>
    <w:rsid w:val="00743580"/>
    <w:rsid w:val="0075292A"/>
    <w:rsid w:val="0075777C"/>
    <w:rsid w:val="007615F5"/>
    <w:rsid w:val="007646D2"/>
    <w:rsid w:val="007662F8"/>
    <w:rsid w:val="0077043F"/>
    <w:rsid w:val="00770D77"/>
    <w:rsid w:val="00776F9A"/>
    <w:rsid w:val="00782F47"/>
    <w:rsid w:val="00786E13"/>
    <w:rsid w:val="00787618"/>
    <w:rsid w:val="00797E84"/>
    <w:rsid w:val="007A2432"/>
    <w:rsid w:val="007A4057"/>
    <w:rsid w:val="007A5C7D"/>
    <w:rsid w:val="007A7033"/>
    <w:rsid w:val="007B1568"/>
    <w:rsid w:val="007B1739"/>
    <w:rsid w:val="007B7CE0"/>
    <w:rsid w:val="007D024A"/>
    <w:rsid w:val="007D30D8"/>
    <w:rsid w:val="007D7BA3"/>
    <w:rsid w:val="007E4669"/>
    <w:rsid w:val="007F369C"/>
    <w:rsid w:val="007F51E5"/>
    <w:rsid w:val="007F5578"/>
    <w:rsid w:val="00801447"/>
    <w:rsid w:val="008030F0"/>
    <w:rsid w:val="008142F4"/>
    <w:rsid w:val="008251DE"/>
    <w:rsid w:val="00834B7E"/>
    <w:rsid w:val="00845BD1"/>
    <w:rsid w:val="00851A96"/>
    <w:rsid w:val="008621CC"/>
    <w:rsid w:val="00870E11"/>
    <w:rsid w:val="00876B9D"/>
    <w:rsid w:val="008838CC"/>
    <w:rsid w:val="0089111A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0EA"/>
    <w:rsid w:val="00943777"/>
    <w:rsid w:val="009509E1"/>
    <w:rsid w:val="009570DC"/>
    <w:rsid w:val="00971E60"/>
    <w:rsid w:val="009747B2"/>
    <w:rsid w:val="0097645F"/>
    <w:rsid w:val="00976980"/>
    <w:rsid w:val="00984A32"/>
    <w:rsid w:val="00987D3D"/>
    <w:rsid w:val="00995966"/>
    <w:rsid w:val="009D66E4"/>
    <w:rsid w:val="009E06FB"/>
    <w:rsid w:val="009E096A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A25A9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03FC"/>
    <w:rsid w:val="00B13945"/>
    <w:rsid w:val="00B13A96"/>
    <w:rsid w:val="00B176CC"/>
    <w:rsid w:val="00B26213"/>
    <w:rsid w:val="00B275B0"/>
    <w:rsid w:val="00B30580"/>
    <w:rsid w:val="00B36185"/>
    <w:rsid w:val="00B43F96"/>
    <w:rsid w:val="00B442DC"/>
    <w:rsid w:val="00B47BE9"/>
    <w:rsid w:val="00B50F23"/>
    <w:rsid w:val="00B526D2"/>
    <w:rsid w:val="00B60881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6139"/>
    <w:rsid w:val="00BC7806"/>
    <w:rsid w:val="00BD4D3B"/>
    <w:rsid w:val="00BE1F88"/>
    <w:rsid w:val="00BF084B"/>
    <w:rsid w:val="00C01E93"/>
    <w:rsid w:val="00C0564E"/>
    <w:rsid w:val="00C15587"/>
    <w:rsid w:val="00C16B6D"/>
    <w:rsid w:val="00C3021E"/>
    <w:rsid w:val="00C31285"/>
    <w:rsid w:val="00C42459"/>
    <w:rsid w:val="00C44C15"/>
    <w:rsid w:val="00C47922"/>
    <w:rsid w:val="00C55EDB"/>
    <w:rsid w:val="00C56885"/>
    <w:rsid w:val="00C57E77"/>
    <w:rsid w:val="00C65EC9"/>
    <w:rsid w:val="00C71A8F"/>
    <w:rsid w:val="00C72F33"/>
    <w:rsid w:val="00C75CEB"/>
    <w:rsid w:val="00C8367A"/>
    <w:rsid w:val="00C86D21"/>
    <w:rsid w:val="00C920F7"/>
    <w:rsid w:val="00CB14F1"/>
    <w:rsid w:val="00CC4A68"/>
    <w:rsid w:val="00CD1DA7"/>
    <w:rsid w:val="00CD3E0F"/>
    <w:rsid w:val="00CD46AA"/>
    <w:rsid w:val="00CD6E9F"/>
    <w:rsid w:val="00CD7C73"/>
    <w:rsid w:val="00CE059E"/>
    <w:rsid w:val="00CE0AFA"/>
    <w:rsid w:val="00CF4D00"/>
    <w:rsid w:val="00D050EE"/>
    <w:rsid w:val="00D05B1A"/>
    <w:rsid w:val="00D0648E"/>
    <w:rsid w:val="00D14D10"/>
    <w:rsid w:val="00D17684"/>
    <w:rsid w:val="00D20685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42CE"/>
    <w:rsid w:val="00DA55A1"/>
    <w:rsid w:val="00DB1085"/>
    <w:rsid w:val="00DB1305"/>
    <w:rsid w:val="00DC2DB0"/>
    <w:rsid w:val="00DC3052"/>
    <w:rsid w:val="00DD3AF6"/>
    <w:rsid w:val="00DF0198"/>
    <w:rsid w:val="00E0541F"/>
    <w:rsid w:val="00E10B17"/>
    <w:rsid w:val="00E124E2"/>
    <w:rsid w:val="00E139A5"/>
    <w:rsid w:val="00E1404C"/>
    <w:rsid w:val="00E226CE"/>
    <w:rsid w:val="00E31475"/>
    <w:rsid w:val="00E4250E"/>
    <w:rsid w:val="00E432EB"/>
    <w:rsid w:val="00E549AF"/>
    <w:rsid w:val="00E55622"/>
    <w:rsid w:val="00E73EAC"/>
    <w:rsid w:val="00E93088"/>
    <w:rsid w:val="00E9695A"/>
    <w:rsid w:val="00EA461B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44B"/>
    <w:rsid w:val="00EF3A8B"/>
    <w:rsid w:val="00EF5F45"/>
    <w:rsid w:val="00EF7003"/>
    <w:rsid w:val="00F02BFA"/>
    <w:rsid w:val="00F148ED"/>
    <w:rsid w:val="00F1723E"/>
    <w:rsid w:val="00F209AB"/>
    <w:rsid w:val="00F22591"/>
    <w:rsid w:val="00F46CC7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08D39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  <w:style w:type="character" w:styleId="Sledovanodkaz">
    <w:name w:val="FollowedHyperlink"/>
    <w:semiHidden/>
    <w:rsid w:val="00625C47"/>
    <w:rPr>
      <w:color w:val="800080"/>
      <w:u w:val="single"/>
    </w:rPr>
  </w:style>
  <w:style w:type="table" w:styleId="Mkatabulky">
    <w:name w:val="Table Grid"/>
    <w:basedOn w:val="Normlntabulka"/>
    <w:uiPriority w:val="39"/>
    <w:rsid w:val="00782F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B2C03-D80E-4B5D-B4A2-2EF4D68C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5428</TotalTime>
  <Pages>3</Pages>
  <Words>685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105</cp:revision>
  <cp:lastPrinted>2020-09-23T07:16:00Z</cp:lastPrinted>
  <dcterms:created xsi:type="dcterms:W3CDTF">2018-01-15T11:56:00Z</dcterms:created>
  <dcterms:modified xsi:type="dcterms:W3CDTF">2020-09-23T15:09:00Z</dcterms:modified>
</cp:coreProperties>
</file>