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2A428" w14:textId="77777777" w:rsidR="008E04B9" w:rsidRPr="008E04B9" w:rsidRDefault="008E04B9" w:rsidP="008E04B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E04B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CEB8A99" w14:textId="399EEE07" w:rsidR="00D93D24" w:rsidRPr="00826AF2" w:rsidRDefault="00E51C3D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30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3</w:t>
      </w:r>
      <w:r w:rsidR="00BD00D4">
        <w:rPr>
          <w:rFonts w:ascii="Tahoma" w:hAnsi="Tahoma" w:cs="Tahoma"/>
          <w:sz w:val="24"/>
          <w:szCs w:val="24"/>
        </w:rPr>
        <w:t>a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14:paraId="3330EC6B" w14:textId="77777777"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6EAA0BB" w14:textId="77777777"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2251A4D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046EB2E6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5D1DA81" w14:textId="77777777"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14:paraId="7EB83C22" w14:textId="77777777"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14:paraId="7CE7EA2C" w14:textId="77777777"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14:paraId="680F83B5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363C9BF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E38D53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75592B98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14:paraId="78EA6D63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47362E1" w14:textId="77777777"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9A52B93" w14:textId="77777777" w:rsidR="00B3079A" w:rsidRPr="00992DE3" w:rsidRDefault="00B3079A" w:rsidP="00B3079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</w:p>
    <w:p w14:paraId="00859E71" w14:textId="00B884AC" w:rsidR="00B3079A" w:rsidRDefault="00B3079A" w:rsidP="00B3079A">
      <w:pPr>
        <w:numPr>
          <w:ilvl w:val="0"/>
          <w:numId w:val="3"/>
        </w:numPr>
        <w:rPr>
          <w:rFonts w:ascii="Tahoma" w:hAnsi="Tahoma" w:cs="Tahoma"/>
        </w:rPr>
      </w:pPr>
      <w:r w:rsidRPr="00AE0DC8">
        <w:rPr>
          <w:rFonts w:ascii="Tahoma" w:hAnsi="Tahoma" w:cs="Tahoma"/>
        </w:rPr>
        <w:t>Rozpočtov</w:t>
      </w:r>
      <w:r w:rsidR="0066272D">
        <w:rPr>
          <w:rFonts w:ascii="Tahoma" w:hAnsi="Tahoma" w:cs="Tahoma"/>
        </w:rPr>
        <w:t>é</w:t>
      </w:r>
      <w:r w:rsidRPr="00AE0DC8">
        <w:rPr>
          <w:rFonts w:ascii="Tahoma" w:hAnsi="Tahoma" w:cs="Tahoma"/>
        </w:rPr>
        <w:t xml:space="preserve"> opatření č. </w:t>
      </w:r>
      <w:r w:rsidR="00BD00D4">
        <w:rPr>
          <w:rFonts w:ascii="Tahoma" w:hAnsi="Tahoma" w:cs="Tahoma"/>
        </w:rPr>
        <w:t>118</w:t>
      </w:r>
      <w:r w:rsidR="008B3014">
        <w:rPr>
          <w:rFonts w:ascii="Tahoma" w:hAnsi="Tahoma" w:cs="Tahoma"/>
        </w:rPr>
        <w:t>-119</w:t>
      </w:r>
    </w:p>
    <w:p w14:paraId="4C0BC55D" w14:textId="77AAE9F5" w:rsidR="006960CF" w:rsidRPr="00AE0DC8" w:rsidRDefault="006960CF" w:rsidP="00B3079A">
      <w:pPr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Obec Horní Poříčí </w:t>
      </w:r>
      <w:r w:rsidR="008B3014">
        <w:rPr>
          <w:rFonts w:ascii="Tahoma" w:hAnsi="Tahoma" w:cs="Tahoma"/>
        </w:rPr>
        <w:t>– poskytnutí daru, RO č. 120</w:t>
      </w:r>
    </w:p>
    <w:p w14:paraId="77485B37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DE04A1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087FB34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BBCA40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EEC70FD" w14:textId="519033DA" w:rsidR="00C24F53" w:rsidRDefault="00BD00D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 </w:t>
      </w:r>
    </w:p>
    <w:p w14:paraId="24222609" w14:textId="4D19FA11" w:rsidR="00BD00D4" w:rsidRDefault="00BD00D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89B2CFF" w14:textId="741A3622" w:rsidR="00BD00D4" w:rsidRDefault="00BD00D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C9BAE2A" w14:textId="77777777" w:rsidR="00BD00D4" w:rsidRPr="00087119" w:rsidRDefault="00BD00D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FB75D58" w14:textId="77777777"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884E517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D558164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451B197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D16ED03" w14:textId="36CFCF4F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 xml:space="preserve">K projednání v radě města dne </w:t>
      </w:r>
      <w:r w:rsidR="00E51C3D">
        <w:rPr>
          <w:rFonts w:ascii="Tahoma" w:hAnsi="Tahoma" w:cs="Tahoma"/>
        </w:rPr>
        <w:t>29</w:t>
      </w:r>
      <w:r w:rsidR="00B3079A" w:rsidRPr="00B3079A">
        <w:rPr>
          <w:rFonts w:ascii="Tahoma" w:hAnsi="Tahoma" w:cs="Tahoma"/>
        </w:rPr>
        <w:t xml:space="preserve">. </w:t>
      </w:r>
      <w:r w:rsidR="00782680" w:rsidRPr="00B3079A">
        <w:rPr>
          <w:rFonts w:ascii="Tahoma" w:hAnsi="Tahoma" w:cs="Tahoma"/>
        </w:rPr>
        <w:t>listopadu</w:t>
      </w:r>
      <w:r w:rsidRPr="00B3079A">
        <w:rPr>
          <w:rFonts w:ascii="Tahoma" w:hAnsi="Tahoma" w:cs="Tahoma"/>
        </w:rPr>
        <w:t xml:space="preserve"> 20</w:t>
      </w:r>
      <w:r w:rsidR="00826AF2" w:rsidRPr="00B3079A">
        <w:rPr>
          <w:rFonts w:ascii="Tahoma" w:hAnsi="Tahoma" w:cs="Tahoma"/>
        </w:rPr>
        <w:t>2</w:t>
      </w:r>
      <w:r w:rsidR="00E51C3D">
        <w:rPr>
          <w:rFonts w:ascii="Tahoma" w:hAnsi="Tahoma" w:cs="Tahoma"/>
        </w:rPr>
        <w:t>3</w:t>
      </w:r>
    </w:p>
    <w:p w14:paraId="638F48E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EDBF2F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DCC370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E68EAC6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03B434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24F58D" w14:textId="77777777" w:rsidR="00BF6FAC" w:rsidRPr="00B3079A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3ECE0B6" w14:textId="23139458"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12EAD84" w14:textId="36C3731D" w:rsidR="00BD00D4" w:rsidRDefault="00BD00D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323ECB7" w14:textId="143CDF68" w:rsidR="00BD00D4" w:rsidRDefault="00BD00D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E5351BA" w14:textId="5D733F36" w:rsidR="00BD00D4" w:rsidRDefault="00BD00D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4CD129" w14:textId="0300E3DF" w:rsidR="00BD00D4" w:rsidRDefault="00BD00D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4328A8C" w14:textId="77777777" w:rsidR="00BD00D4" w:rsidRPr="00B3079A" w:rsidRDefault="00BD00D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32BDFF8" w14:textId="5F641B74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53BFB2B" w14:textId="77777777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91F84CD" w14:textId="77777777" w:rsidR="00B3079A" w:rsidRP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  <w:b/>
          <w:bCs/>
        </w:rPr>
        <w:t>Předkládá:</w:t>
      </w:r>
      <w:r w:rsidRPr="00B3079A">
        <w:rPr>
          <w:rFonts w:ascii="Tahoma" w:hAnsi="Tahoma" w:cs="Tahoma"/>
          <w:b/>
          <w:bCs/>
        </w:rPr>
        <w:tab/>
      </w:r>
      <w:r w:rsidRPr="00B3079A">
        <w:rPr>
          <w:rFonts w:ascii="Tahoma" w:hAnsi="Tahoma" w:cs="Tahoma"/>
        </w:rPr>
        <w:t>Ing. Jitka Šochmanová, vedoucí finančního odboru</w:t>
      </w:r>
    </w:p>
    <w:p w14:paraId="593680B1" w14:textId="53293F6C" w:rsid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ab/>
      </w:r>
      <w:r w:rsidRPr="00B3079A">
        <w:rPr>
          <w:rFonts w:ascii="Tahoma" w:hAnsi="Tahoma" w:cs="Tahoma"/>
        </w:rPr>
        <w:tab/>
      </w:r>
    </w:p>
    <w:p w14:paraId="0D04447C" w14:textId="77777777" w:rsidR="00BD00D4" w:rsidRDefault="00BD00D4" w:rsidP="00D23C51">
      <w:pPr>
        <w:pStyle w:val="Nadpis2"/>
        <w:rPr>
          <w:rFonts w:ascii="Tahoma" w:hAnsi="Tahoma" w:cs="Tahoma"/>
          <w:sz w:val="24"/>
        </w:rPr>
      </w:pPr>
    </w:p>
    <w:p w14:paraId="5F03E7FC" w14:textId="77777777" w:rsidR="00BD00D4" w:rsidRDefault="00BD00D4" w:rsidP="00D23C51">
      <w:pPr>
        <w:pStyle w:val="Nadpis2"/>
        <w:rPr>
          <w:rFonts w:ascii="Tahoma" w:hAnsi="Tahoma" w:cs="Tahoma"/>
          <w:sz w:val="24"/>
        </w:rPr>
      </w:pPr>
    </w:p>
    <w:p w14:paraId="29C0DBF5" w14:textId="413C5CE5" w:rsidR="004C14B1" w:rsidRPr="00B3079A" w:rsidRDefault="00BF6FAC" w:rsidP="00D23C51">
      <w:pPr>
        <w:pStyle w:val="Nadpis2"/>
        <w:rPr>
          <w:rFonts w:ascii="Tahoma" w:hAnsi="Tahoma" w:cs="Tahoma"/>
          <w:sz w:val="24"/>
        </w:rPr>
      </w:pPr>
      <w:r w:rsidRPr="00B3079A">
        <w:rPr>
          <w:rFonts w:ascii="Tahoma" w:hAnsi="Tahoma" w:cs="Tahoma"/>
          <w:sz w:val="24"/>
        </w:rPr>
        <w:t>1</w:t>
      </w:r>
      <w:r w:rsidR="002F2AF9" w:rsidRPr="00B3079A">
        <w:rPr>
          <w:rFonts w:ascii="Tahoma" w:hAnsi="Tahoma" w:cs="Tahoma"/>
          <w:sz w:val="24"/>
        </w:rPr>
        <w:t>) Rozpočtov</w:t>
      </w:r>
      <w:r w:rsidR="00BD00D4">
        <w:rPr>
          <w:rFonts w:ascii="Tahoma" w:hAnsi="Tahoma" w:cs="Tahoma"/>
          <w:sz w:val="24"/>
        </w:rPr>
        <w:t>é</w:t>
      </w:r>
      <w:r w:rsidR="002F2AF9" w:rsidRPr="00B3079A">
        <w:rPr>
          <w:rFonts w:ascii="Tahoma" w:hAnsi="Tahoma" w:cs="Tahoma"/>
          <w:sz w:val="24"/>
        </w:rPr>
        <w:t xml:space="preserve"> opatření č</w:t>
      </w:r>
      <w:r w:rsidR="00716404" w:rsidRPr="00B3079A">
        <w:rPr>
          <w:rFonts w:ascii="Tahoma" w:hAnsi="Tahoma" w:cs="Tahoma"/>
          <w:sz w:val="24"/>
        </w:rPr>
        <w:t>.</w:t>
      </w:r>
      <w:r w:rsidR="00D23C51" w:rsidRPr="00B3079A">
        <w:rPr>
          <w:rFonts w:ascii="Tahoma" w:hAnsi="Tahoma" w:cs="Tahoma"/>
          <w:sz w:val="24"/>
        </w:rPr>
        <w:t xml:space="preserve">  </w:t>
      </w:r>
      <w:r w:rsidR="00257FE8" w:rsidRPr="00B3079A">
        <w:rPr>
          <w:rFonts w:ascii="Tahoma" w:hAnsi="Tahoma" w:cs="Tahoma"/>
          <w:sz w:val="24"/>
        </w:rPr>
        <w:t>1</w:t>
      </w:r>
      <w:r w:rsidR="00BD00D4">
        <w:rPr>
          <w:rFonts w:ascii="Tahoma" w:hAnsi="Tahoma" w:cs="Tahoma"/>
          <w:sz w:val="24"/>
        </w:rPr>
        <w:t>18</w:t>
      </w:r>
      <w:r w:rsidR="007A57AC">
        <w:rPr>
          <w:rFonts w:ascii="Tahoma" w:hAnsi="Tahoma" w:cs="Tahoma"/>
          <w:sz w:val="24"/>
        </w:rPr>
        <w:t>-119</w:t>
      </w:r>
    </w:p>
    <w:p w14:paraId="494169E6" w14:textId="1E7E08A9" w:rsidR="00D24A0F" w:rsidRPr="00AC0677" w:rsidRDefault="00D24A0F" w:rsidP="00AC0677">
      <w:pPr>
        <w:rPr>
          <w:rFonts w:ascii="Tahoma" w:hAnsi="Tahoma" w:cs="Tahoma"/>
          <w:i/>
          <w:iCs/>
          <w:sz w:val="20"/>
          <w:szCs w:val="20"/>
        </w:rPr>
      </w:pPr>
    </w:p>
    <w:p w14:paraId="6D888214" w14:textId="77777777" w:rsidR="004C14B1" w:rsidRPr="00AC0677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AC067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28F33E31" w14:textId="6536BE5B" w:rsidR="004C14B1" w:rsidRDefault="004C14B1" w:rsidP="004C14B1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RM po projednání</w:t>
      </w:r>
    </w:p>
    <w:p w14:paraId="0A5BE961" w14:textId="1C87DDC1" w:rsidR="007A57AC" w:rsidRDefault="007A57AC" w:rsidP="007A57AC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AC0677">
        <w:rPr>
          <w:rFonts w:ascii="Tahoma" w:hAnsi="Tahoma" w:cs="Tahoma"/>
          <w:sz w:val="20"/>
          <w:szCs w:val="20"/>
          <w:u w:val="none"/>
        </w:rPr>
        <w:t xml:space="preserve">I. </w:t>
      </w:r>
      <w:r>
        <w:rPr>
          <w:rFonts w:ascii="Tahoma" w:hAnsi="Tahoma" w:cs="Tahoma"/>
          <w:sz w:val="20"/>
          <w:szCs w:val="20"/>
          <w:u w:val="none"/>
        </w:rPr>
        <w:t>Schvaluje</w:t>
      </w:r>
    </w:p>
    <w:p w14:paraId="2352E4D8" w14:textId="65585AA4" w:rsidR="007A57AC" w:rsidRDefault="007A57AC" w:rsidP="007A57AC">
      <w:pPr>
        <w:pStyle w:val="Zkladntext2"/>
        <w:rPr>
          <w:rFonts w:ascii="Tahoma" w:hAnsi="Tahoma" w:cs="Tahoma"/>
          <w:sz w:val="20"/>
          <w:szCs w:val="20"/>
        </w:rPr>
      </w:pPr>
      <w:r w:rsidRPr="007A57AC">
        <w:rPr>
          <w:rFonts w:ascii="Tahoma" w:hAnsi="Tahoma" w:cs="Tahoma"/>
          <w:sz w:val="20"/>
          <w:szCs w:val="20"/>
        </w:rPr>
        <w:t>RO č. 118 ve výši 80.000,00 Kč</w:t>
      </w:r>
    </w:p>
    <w:p w14:paraId="099A3D9E" w14:textId="162AA51D" w:rsidR="007A57AC" w:rsidRPr="008B3014" w:rsidRDefault="007A57AC" w:rsidP="008B3014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8B3014">
        <w:rPr>
          <w:rFonts w:ascii="Tahoma" w:hAnsi="Tahoma" w:cs="Tahoma"/>
          <w:sz w:val="20"/>
          <w:szCs w:val="20"/>
        </w:rPr>
        <w:t xml:space="preserve">Investiční příspěvek </w:t>
      </w:r>
      <w:r w:rsidR="008B3014" w:rsidRPr="008B3014">
        <w:rPr>
          <w:rFonts w:ascii="Tahoma" w:hAnsi="Tahoma" w:cs="Tahoma"/>
          <w:sz w:val="20"/>
          <w:szCs w:val="20"/>
        </w:rPr>
        <w:t xml:space="preserve">zřizovatele organizaci STARZ Strakonice na pořízení čistícího stroje na podlahové krytiny, který bude využíván na úklid prostor plaveckého stadionu. Stávající čistící stroj již není funkční. Rozpočtové opatření bude kryto příjmy z přijatých úroků z bankovních účtů města.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2551"/>
      </w:tblGrid>
      <w:tr w:rsidR="008B3014" w:rsidRPr="00AC0677" w14:paraId="2272ED7F" w14:textId="77777777" w:rsidTr="00A02D1B">
        <w:tc>
          <w:tcPr>
            <w:tcW w:w="2268" w:type="dxa"/>
          </w:tcPr>
          <w:p w14:paraId="1BFC55E1" w14:textId="77777777" w:rsidR="008B3014" w:rsidRPr="00AC0677" w:rsidRDefault="008B3014" w:rsidP="00A02D1B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14:paraId="3A776CCF" w14:textId="24D01108" w:rsidR="008B3014" w:rsidRPr="00AC0677" w:rsidRDefault="008B3014" w:rsidP="00A02D1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14:paraId="12961366" w14:textId="0B9BA84B" w:rsidR="008B3014" w:rsidRPr="00AC0677" w:rsidRDefault="008B3014" w:rsidP="000E79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1083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E7921"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3412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E7921"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6351  </w:t>
            </w:r>
          </w:p>
        </w:tc>
      </w:tr>
      <w:tr w:rsidR="008B3014" w:rsidRPr="00AC0677" w14:paraId="603BACCE" w14:textId="77777777" w:rsidTr="00A02D1B">
        <w:tc>
          <w:tcPr>
            <w:tcW w:w="2268" w:type="dxa"/>
          </w:tcPr>
          <w:p w14:paraId="2E0DF8E1" w14:textId="77777777" w:rsidR="008B3014" w:rsidRPr="00AC0677" w:rsidRDefault="008B3014" w:rsidP="00A02D1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119E1C" w14:textId="77777777" w:rsidR="008B3014" w:rsidRPr="00AC0677" w:rsidRDefault="008B3014" w:rsidP="00A02D1B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14:paraId="63EB9839" w14:textId="21BACBD6" w:rsidR="008B3014" w:rsidRPr="00AC0677" w:rsidRDefault="008B3014" w:rsidP="000E79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   </w:t>
            </w:r>
            <w:r w:rsidR="000E792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6310 </w:t>
            </w:r>
            <w:r w:rsidR="000E7921">
              <w:rPr>
                <w:rFonts w:ascii="Tahoma" w:hAnsi="Tahoma" w:cs="Tahoma"/>
                <w:sz w:val="20"/>
                <w:szCs w:val="20"/>
              </w:rPr>
              <w:t>–</w:t>
            </w:r>
            <w:r>
              <w:rPr>
                <w:rFonts w:ascii="Tahoma" w:hAnsi="Tahoma" w:cs="Tahoma"/>
                <w:sz w:val="20"/>
                <w:szCs w:val="20"/>
              </w:rPr>
              <w:t xml:space="preserve"> 2141</w:t>
            </w:r>
          </w:p>
        </w:tc>
      </w:tr>
    </w:tbl>
    <w:p w14:paraId="4B4E7571" w14:textId="77777777" w:rsidR="008B3014" w:rsidRDefault="008B3014" w:rsidP="007A57AC">
      <w:pPr>
        <w:pStyle w:val="Zkladntext2"/>
        <w:rPr>
          <w:rFonts w:ascii="Tahoma" w:hAnsi="Tahoma" w:cs="Tahoma"/>
          <w:b w:val="0"/>
          <w:bCs w:val="0"/>
          <w:sz w:val="20"/>
          <w:szCs w:val="20"/>
        </w:rPr>
      </w:pPr>
    </w:p>
    <w:p w14:paraId="16A59A45" w14:textId="77777777" w:rsidR="004C14B1" w:rsidRPr="00AC0677" w:rsidRDefault="004C14B1" w:rsidP="004C14B1">
      <w:pPr>
        <w:rPr>
          <w:rFonts w:ascii="Tahoma" w:hAnsi="Tahoma" w:cs="Tahoma"/>
          <w:sz w:val="20"/>
          <w:szCs w:val="20"/>
        </w:rPr>
      </w:pPr>
    </w:p>
    <w:p w14:paraId="53AFBD9E" w14:textId="43C48533" w:rsidR="00AC6BEA" w:rsidRPr="00AC0677" w:rsidRDefault="00AC6BEA" w:rsidP="00AC6BEA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AC0677">
        <w:rPr>
          <w:rFonts w:ascii="Tahoma" w:hAnsi="Tahoma" w:cs="Tahoma"/>
          <w:sz w:val="20"/>
          <w:szCs w:val="20"/>
          <w:u w:val="none"/>
        </w:rPr>
        <w:t>I</w:t>
      </w:r>
      <w:r w:rsidR="007A57AC">
        <w:rPr>
          <w:rFonts w:ascii="Tahoma" w:hAnsi="Tahoma" w:cs="Tahoma"/>
          <w:sz w:val="20"/>
          <w:szCs w:val="20"/>
          <w:u w:val="none"/>
        </w:rPr>
        <w:t>I</w:t>
      </w:r>
      <w:r w:rsidRPr="00AC0677">
        <w:rPr>
          <w:rFonts w:ascii="Tahoma" w:hAnsi="Tahoma" w:cs="Tahoma"/>
          <w:sz w:val="20"/>
          <w:szCs w:val="20"/>
          <w:u w:val="none"/>
        </w:rPr>
        <w:t>. Doporučuje ZM schválit</w:t>
      </w:r>
    </w:p>
    <w:p w14:paraId="3E52AE58" w14:textId="56680BDD" w:rsidR="00676A38" w:rsidRPr="00AC0677" w:rsidRDefault="00676A38" w:rsidP="00FB41BC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RO  č. 1</w:t>
      </w:r>
      <w:r w:rsidR="000A0861" w:rsidRPr="00AC0677">
        <w:rPr>
          <w:rFonts w:ascii="Tahoma" w:hAnsi="Tahoma" w:cs="Tahoma"/>
          <w:sz w:val="20"/>
          <w:szCs w:val="20"/>
        </w:rPr>
        <w:t>1</w:t>
      </w:r>
      <w:r w:rsidR="007A57AC">
        <w:rPr>
          <w:rFonts w:ascii="Tahoma" w:hAnsi="Tahoma" w:cs="Tahoma"/>
          <w:sz w:val="20"/>
          <w:szCs w:val="20"/>
        </w:rPr>
        <w:t>9</w:t>
      </w:r>
      <w:r w:rsidR="00077136" w:rsidRPr="00AC0677">
        <w:rPr>
          <w:rFonts w:ascii="Tahoma" w:hAnsi="Tahoma" w:cs="Tahoma"/>
          <w:sz w:val="20"/>
          <w:szCs w:val="20"/>
        </w:rPr>
        <w:t xml:space="preserve"> </w:t>
      </w:r>
      <w:r w:rsidRPr="00AC0677">
        <w:rPr>
          <w:rFonts w:ascii="Tahoma" w:hAnsi="Tahoma" w:cs="Tahoma"/>
          <w:sz w:val="20"/>
          <w:szCs w:val="20"/>
        </w:rPr>
        <w:t>ve výši</w:t>
      </w:r>
      <w:r w:rsidR="00BD00D4">
        <w:rPr>
          <w:rFonts w:ascii="Tahoma" w:hAnsi="Tahoma" w:cs="Tahoma"/>
          <w:sz w:val="20"/>
          <w:szCs w:val="20"/>
        </w:rPr>
        <w:t xml:space="preserve"> 3.500.000,</w:t>
      </w:r>
      <w:r w:rsidRPr="00AC0677">
        <w:rPr>
          <w:rFonts w:ascii="Tahoma" w:hAnsi="Tahoma" w:cs="Tahoma"/>
          <w:sz w:val="20"/>
          <w:szCs w:val="20"/>
        </w:rPr>
        <w:t>00 Kč</w:t>
      </w:r>
    </w:p>
    <w:p w14:paraId="6CF906BE" w14:textId="63D06685" w:rsidR="003A1ACA" w:rsidRPr="00AC0677" w:rsidRDefault="00BD00D4" w:rsidP="00540FF0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základě doporučení pracovnic krajského úřadu, oddělení přezkumu a metodiky hospodaření obcí dochází ke změně rozpočtové skladby u</w:t>
      </w:r>
      <w:r w:rsidR="0066272D">
        <w:rPr>
          <w:rFonts w:ascii="Tahoma" w:hAnsi="Tahoma" w:cs="Tahoma"/>
          <w:sz w:val="20"/>
          <w:szCs w:val="20"/>
        </w:rPr>
        <w:t xml:space="preserve"> příjmů za </w:t>
      </w:r>
      <w:r w:rsidR="001D63B0">
        <w:rPr>
          <w:rFonts w:ascii="Tahoma" w:hAnsi="Tahoma" w:cs="Tahoma"/>
          <w:sz w:val="20"/>
          <w:szCs w:val="20"/>
        </w:rPr>
        <w:t>tříděný odpad</w:t>
      </w:r>
      <w:r>
        <w:rPr>
          <w:rFonts w:ascii="Tahoma" w:hAnsi="Tahoma" w:cs="Tahoma"/>
          <w:sz w:val="20"/>
          <w:szCs w:val="20"/>
        </w:rPr>
        <w:t xml:space="preserve"> </w:t>
      </w:r>
      <w:r w:rsidR="001D63B0">
        <w:rPr>
          <w:rFonts w:ascii="Tahoma" w:hAnsi="Tahoma" w:cs="Tahoma"/>
          <w:sz w:val="20"/>
          <w:szCs w:val="20"/>
        </w:rPr>
        <w:t>od sp</w:t>
      </w:r>
      <w:r>
        <w:rPr>
          <w:rFonts w:ascii="Tahoma" w:hAnsi="Tahoma" w:cs="Tahoma"/>
          <w:sz w:val="20"/>
          <w:szCs w:val="20"/>
        </w:rPr>
        <w:t>olečnosti EKO-KOM</w:t>
      </w:r>
      <w:r w:rsidR="001D63B0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418"/>
        <w:gridCol w:w="2551"/>
      </w:tblGrid>
      <w:tr w:rsidR="00676A38" w:rsidRPr="00AC0677" w14:paraId="148E51E1" w14:textId="77777777" w:rsidTr="009F2E96">
        <w:tc>
          <w:tcPr>
            <w:tcW w:w="2268" w:type="dxa"/>
          </w:tcPr>
          <w:p w14:paraId="1AE20AB0" w14:textId="77777777" w:rsidR="00676A38" w:rsidRPr="00AC0677" w:rsidRDefault="00676A38" w:rsidP="0056378C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8" w:type="dxa"/>
          </w:tcPr>
          <w:p w14:paraId="6CC0B39D" w14:textId="086588B4" w:rsidR="00676A38" w:rsidRPr="00AC0677" w:rsidRDefault="0066272D" w:rsidP="0056378C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14:paraId="37B77849" w14:textId="0FADE5BC" w:rsidR="00676A38" w:rsidRPr="00AC0677" w:rsidRDefault="0066272D" w:rsidP="000E79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452</w:t>
            </w:r>
            <w:r w:rsidR="00676A38"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E7921">
              <w:rPr>
                <w:rFonts w:ascii="Tahoma" w:hAnsi="Tahoma" w:cs="Tahoma"/>
                <w:sz w:val="20"/>
                <w:szCs w:val="20"/>
              </w:rPr>
              <w:t>–</w:t>
            </w:r>
            <w:r w:rsidR="00676A38"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3725</w:t>
            </w:r>
            <w:r w:rsidR="00676A38"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E7921">
              <w:rPr>
                <w:rFonts w:ascii="Tahoma" w:hAnsi="Tahoma" w:cs="Tahoma"/>
                <w:sz w:val="20"/>
                <w:szCs w:val="20"/>
              </w:rPr>
              <w:t>–</w:t>
            </w:r>
            <w:r w:rsidR="00676A38"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D63B0">
              <w:rPr>
                <w:rFonts w:ascii="Tahoma" w:hAnsi="Tahoma" w:cs="Tahoma"/>
                <w:sz w:val="20"/>
                <w:szCs w:val="20"/>
              </w:rPr>
              <w:t>2324   +</w:t>
            </w:r>
          </w:p>
        </w:tc>
      </w:tr>
      <w:tr w:rsidR="003A1ACA" w:rsidRPr="00AC0677" w14:paraId="45CBE07B" w14:textId="77777777" w:rsidTr="009F2E96">
        <w:tc>
          <w:tcPr>
            <w:tcW w:w="2268" w:type="dxa"/>
          </w:tcPr>
          <w:p w14:paraId="52530B33" w14:textId="77777777" w:rsidR="003A1ACA" w:rsidRPr="00AC0677" w:rsidRDefault="003A1ACA" w:rsidP="0056378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E187C8" w14:textId="05C0B272" w:rsidR="003A1ACA" w:rsidRPr="00AC0677" w:rsidRDefault="003A1ACA" w:rsidP="0056378C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1" w:type="dxa"/>
          </w:tcPr>
          <w:p w14:paraId="2522DED9" w14:textId="6CBAC869" w:rsidR="003A1ACA" w:rsidRPr="00AC0677" w:rsidRDefault="000E7921" w:rsidP="000E792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1D63B0">
              <w:rPr>
                <w:rFonts w:ascii="Tahoma" w:hAnsi="Tahoma" w:cs="Tahoma"/>
                <w:sz w:val="20"/>
                <w:szCs w:val="20"/>
              </w:rPr>
              <w:t xml:space="preserve">452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="001D63B0">
              <w:rPr>
                <w:rFonts w:ascii="Tahoma" w:hAnsi="Tahoma" w:cs="Tahoma"/>
                <w:sz w:val="20"/>
                <w:szCs w:val="20"/>
              </w:rPr>
              <w:t xml:space="preserve"> 3729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="001D63B0">
              <w:rPr>
                <w:rFonts w:ascii="Tahoma" w:hAnsi="Tahoma" w:cs="Tahoma"/>
                <w:sz w:val="20"/>
                <w:szCs w:val="20"/>
              </w:rPr>
              <w:t xml:space="preserve"> 2111   -</w:t>
            </w:r>
          </w:p>
        </w:tc>
      </w:tr>
    </w:tbl>
    <w:p w14:paraId="64E13DA9" w14:textId="1A482037" w:rsidR="006960CF" w:rsidRDefault="006960CF" w:rsidP="00676A38">
      <w:pPr>
        <w:rPr>
          <w:rFonts w:ascii="Tahoma" w:hAnsi="Tahoma" w:cs="Tahoma"/>
          <w:sz w:val="20"/>
          <w:szCs w:val="20"/>
        </w:rPr>
      </w:pPr>
    </w:p>
    <w:p w14:paraId="5C08AF0D" w14:textId="77777777" w:rsidR="00571756" w:rsidRDefault="00571756" w:rsidP="00676A38">
      <w:pPr>
        <w:rPr>
          <w:rFonts w:ascii="Tahoma" w:hAnsi="Tahoma" w:cs="Tahoma"/>
          <w:sz w:val="20"/>
          <w:szCs w:val="20"/>
        </w:rPr>
      </w:pPr>
    </w:p>
    <w:p w14:paraId="76FF8CCF" w14:textId="47821B26" w:rsidR="006960CF" w:rsidRPr="00B3079A" w:rsidRDefault="006960CF" w:rsidP="006960CF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B3079A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 xml:space="preserve">Obec Horní Poříčí – poskytnutí daru, RO č. </w:t>
      </w:r>
      <w:r w:rsidR="007A57AC">
        <w:rPr>
          <w:rFonts w:ascii="Tahoma" w:hAnsi="Tahoma" w:cs="Tahoma"/>
          <w:sz w:val="24"/>
        </w:rPr>
        <w:t>120</w:t>
      </w:r>
    </w:p>
    <w:p w14:paraId="24D769B8" w14:textId="551EEFBB" w:rsidR="006960CF" w:rsidRPr="00571756" w:rsidRDefault="006960CF" w:rsidP="00676A38">
      <w:pPr>
        <w:rPr>
          <w:rFonts w:ascii="Tahoma" w:hAnsi="Tahoma" w:cs="Tahoma"/>
          <w:sz w:val="20"/>
          <w:szCs w:val="20"/>
        </w:rPr>
      </w:pPr>
    </w:p>
    <w:p w14:paraId="39A7D4C4" w14:textId="641EF4DD" w:rsidR="00571756" w:rsidRPr="00571756" w:rsidRDefault="00571756" w:rsidP="00571756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14:paraId="769A3EC3" w14:textId="77777777" w:rsidR="00571756" w:rsidRPr="00571756" w:rsidRDefault="00571756" w:rsidP="00571756">
      <w:pPr>
        <w:rPr>
          <w:rFonts w:ascii="Tahoma" w:hAnsi="Tahoma" w:cs="Tahoma"/>
          <w:b/>
          <w:bCs/>
          <w:sz w:val="20"/>
          <w:szCs w:val="20"/>
        </w:rPr>
      </w:pPr>
      <w:r w:rsidRPr="0057175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1666BDB2" w14:textId="77777777" w:rsidR="00571756" w:rsidRPr="00571756" w:rsidRDefault="00571756" w:rsidP="00571756">
      <w:pPr>
        <w:rPr>
          <w:rFonts w:ascii="Tahoma" w:hAnsi="Tahoma" w:cs="Tahoma"/>
          <w:sz w:val="20"/>
          <w:szCs w:val="20"/>
        </w:rPr>
      </w:pPr>
      <w:r w:rsidRPr="00571756">
        <w:rPr>
          <w:rFonts w:ascii="Tahoma" w:hAnsi="Tahoma" w:cs="Tahoma"/>
          <w:sz w:val="20"/>
          <w:szCs w:val="20"/>
        </w:rPr>
        <w:t>RM po projednání</w:t>
      </w:r>
    </w:p>
    <w:p w14:paraId="7E881D11" w14:textId="77777777" w:rsidR="00571756" w:rsidRPr="00571756" w:rsidRDefault="00571756" w:rsidP="00571756">
      <w:pPr>
        <w:rPr>
          <w:rFonts w:ascii="Tahoma" w:hAnsi="Tahoma" w:cs="Tahoma"/>
          <w:sz w:val="20"/>
          <w:szCs w:val="20"/>
        </w:rPr>
      </w:pPr>
    </w:p>
    <w:p w14:paraId="46D01959" w14:textId="5FBA8F12" w:rsidR="00571756" w:rsidRDefault="00571756" w:rsidP="00571756">
      <w:pPr>
        <w:pStyle w:val="Nadpis3"/>
        <w:rPr>
          <w:rFonts w:ascii="Tahoma" w:hAnsi="Tahoma" w:cs="Tahoma"/>
          <w:sz w:val="20"/>
          <w:szCs w:val="20"/>
        </w:rPr>
      </w:pPr>
      <w:r w:rsidRPr="008B3014">
        <w:rPr>
          <w:rFonts w:ascii="Tahoma" w:hAnsi="Tahoma" w:cs="Tahoma"/>
          <w:sz w:val="20"/>
          <w:szCs w:val="20"/>
        </w:rPr>
        <w:t>I. Schvaluje</w:t>
      </w:r>
    </w:p>
    <w:p w14:paraId="52589999" w14:textId="77777777" w:rsidR="003F62B4" w:rsidRPr="004146F2" w:rsidRDefault="003F62B4" w:rsidP="003F62B4">
      <w:pPr>
        <w:pStyle w:val="Zkladntext2"/>
        <w:rPr>
          <w:rFonts w:ascii="Tahoma" w:hAnsi="Tahoma" w:cs="Tahoma"/>
          <w:sz w:val="20"/>
          <w:szCs w:val="20"/>
        </w:rPr>
      </w:pPr>
      <w:r w:rsidRPr="004146F2">
        <w:rPr>
          <w:rFonts w:ascii="Tahoma" w:hAnsi="Tahoma" w:cs="Tahoma"/>
          <w:sz w:val="20"/>
          <w:szCs w:val="20"/>
        </w:rPr>
        <w:t>RO  č. 1</w:t>
      </w:r>
      <w:r>
        <w:rPr>
          <w:rFonts w:ascii="Tahoma" w:hAnsi="Tahoma" w:cs="Tahoma"/>
          <w:sz w:val="20"/>
          <w:szCs w:val="20"/>
        </w:rPr>
        <w:t>20</w:t>
      </w:r>
      <w:r w:rsidRPr="004146F2">
        <w:rPr>
          <w:rFonts w:ascii="Tahoma" w:hAnsi="Tahoma" w:cs="Tahoma"/>
          <w:sz w:val="20"/>
          <w:szCs w:val="20"/>
        </w:rPr>
        <w:t xml:space="preserve"> ve výši  10.000,00 Kč</w:t>
      </w:r>
    </w:p>
    <w:p w14:paraId="2C0951A2" w14:textId="77777777" w:rsidR="003F62B4" w:rsidRPr="004146F2" w:rsidRDefault="003F62B4" w:rsidP="003F62B4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4146F2">
        <w:rPr>
          <w:rFonts w:ascii="Tahoma" w:hAnsi="Tahoma" w:cs="Tahoma"/>
          <w:sz w:val="20"/>
          <w:szCs w:val="20"/>
        </w:rPr>
        <w:t xml:space="preserve">Navýšení rozpočtu města Strakonice na </w:t>
      </w:r>
      <w:r>
        <w:rPr>
          <w:rFonts w:ascii="Tahoma" w:hAnsi="Tahoma" w:cs="Tahoma"/>
          <w:sz w:val="20"/>
          <w:szCs w:val="20"/>
        </w:rPr>
        <w:t xml:space="preserve">poskytnutí finančního daru obci Horní Poříčí, který je určený na rekonstrukci mostu přes řeku Otavu v obci Horní Poříčí. Rozpočtové opatření bude kryto příjmy z přijatých úroků z bankovních účtů města.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2410"/>
      </w:tblGrid>
      <w:tr w:rsidR="003F62B4" w:rsidRPr="008B3014" w14:paraId="0131F19C" w14:textId="77777777" w:rsidTr="00F01B51">
        <w:tc>
          <w:tcPr>
            <w:tcW w:w="2268" w:type="dxa"/>
          </w:tcPr>
          <w:p w14:paraId="7C8D7F87" w14:textId="77777777" w:rsidR="003F62B4" w:rsidRPr="008B3014" w:rsidRDefault="003F62B4" w:rsidP="00F01B51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B301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701" w:type="dxa"/>
          </w:tcPr>
          <w:p w14:paraId="5B62496A" w14:textId="77777777" w:rsidR="003F62B4" w:rsidRPr="008B3014" w:rsidRDefault="003F62B4" w:rsidP="00F01B51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8B301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0" w:type="dxa"/>
          </w:tcPr>
          <w:p w14:paraId="64A74C96" w14:textId="77777777" w:rsidR="003F62B4" w:rsidRPr="008B3014" w:rsidRDefault="003F62B4" w:rsidP="00F01B5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B3014">
              <w:rPr>
                <w:rFonts w:ascii="Tahoma" w:hAnsi="Tahoma" w:cs="Tahoma"/>
                <w:sz w:val="20"/>
                <w:szCs w:val="20"/>
              </w:rPr>
              <w:t xml:space="preserve">600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8B3014">
              <w:rPr>
                <w:rFonts w:ascii="Tahoma" w:hAnsi="Tahoma" w:cs="Tahoma"/>
                <w:sz w:val="20"/>
                <w:szCs w:val="20"/>
              </w:rPr>
              <w:t xml:space="preserve"> 2219 – 6341</w:t>
            </w:r>
          </w:p>
        </w:tc>
      </w:tr>
      <w:tr w:rsidR="003F62B4" w:rsidRPr="00571756" w14:paraId="5154B086" w14:textId="77777777" w:rsidTr="00F01B51">
        <w:tc>
          <w:tcPr>
            <w:tcW w:w="2268" w:type="dxa"/>
          </w:tcPr>
          <w:p w14:paraId="740E9C59" w14:textId="77777777" w:rsidR="003F62B4" w:rsidRPr="008B3014" w:rsidRDefault="003F62B4" w:rsidP="00F01B5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9108C1" w14:textId="77777777" w:rsidR="003F62B4" w:rsidRPr="008B3014" w:rsidRDefault="003F62B4" w:rsidP="00F01B51">
            <w:pPr>
              <w:rPr>
                <w:rFonts w:ascii="Tahoma" w:hAnsi="Tahoma" w:cs="Tahoma"/>
                <w:sz w:val="20"/>
                <w:szCs w:val="20"/>
              </w:rPr>
            </w:pPr>
            <w:r w:rsidRPr="008B3014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410" w:type="dxa"/>
          </w:tcPr>
          <w:p w14:paraId="2A09B43F" w14:textId="77777777" w:rsidR="003F62B4" w:rsidRPr="00571756" w:rsidRDefault="003F62B4" w:rsidP="00F01B5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8B3014">
              <w:rPr>
                <w:rFonts w:ascii="Tahoma" w:hAnsi="Tahoma" w:cs="Tahoma"/>
                <w:sz w:val="20"/>
                <w:szCs w:val="20"/>
              </w:rPr>
              <w:t xml:space="preserve"> 6310 – 2141</w:t>
            </w:r>
            <w:r w:rsidRPr="0057175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3904E424" w14:textId="77777777" w:rsidR="003F62B4" w:rsidRPr="00571756" w:rsidRDefault="003F62B4" w:rsidP="003F62B4">
      <w:pPr>
        <w:rPr>
          <w:sz w:val="20"/>
          <w:szCs w:val="20"/>
        </w:rPr>
      </w:pPr>
    </w:p>
    <w:p w14:paraId="1FCB7A1A" w14:textId="5C17FB67" w:rsidR="003F62B4" w:rsidRPr="008B3014" w:rsidRDefault="003F62B4" w:rsidP="003F62B4">
      <w:pPr>
        <w:pStyle w:val="Nadpis3"/>
        <w:rPr>
          <w:rFonts w:ascii="Tahoma" w:hAnsi="Tahoma" w:cs="Tahoma"/>
          <w:sz w:val="20"/>
          <w:szCs w:val="20"/>
        </w:rPr>
      </w:pPr>
      <w:r w:rsidRPr="008B3014">
        <w:rPr>
          <w:rFonts w:ascii="Tahoma" w:hAnsi="Tahoma" w:cs="Tahoma"/>
          <w:sz w:val="20"/>
          <w:szCs w:val="20"/>
        </w:rPr>
        <w:t>II. Schvaluje</w:t>
      </w:r>
    </w:p>
    <w:p w14:paraId="5A64EFA5" w14:textId="281A3F99" w:rsidR="004146F2" w:rsidRPr="008B3014" w:rsidRDefault="00571756" w:rsidP="004146F2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  <w:r w:rsidRPr="008B3014">
        <w:rPr>
          <w:rFonts w:ascii="Tahoma" w:hAnsi="Tahoma" w:cs="Tahoma"/>
          <w:bCs/>
          <w:iCs/>
          <w:snapToGrid w:val="0"/>
          <w:sz w:val="20"/>
          <w:szCs w:val="20"/>
        </w:rPr>
        <w:t xml:space="preserve">uzavření darovací smlouvy mezi </w:t>
      </w:r>
      <w:r w:rsidR="004146F2" w:rsidRPr="008B3014">
        <w:rPr>
          <w:rFonts w:ascii="Tahoma" w:hAnsi="Tahoma" w:cs="Tahoma"/>
          <w:bCs/>
          <w:iCs/>
          <w:snapToGrid w:val="0"/>
          <w:sz w:val="20"/>
          <w:szCs w:val="20"/>
        </w:rPr>
        <w:t>městem Strakonice, se sídlem Velké n</w:t>
      </w:r>
      <w:r w:rsidR="008B3014" w:rsidRPr="008B3014">
        <w:rPr>
          <w:rFonts w:ascii="Tahoma" w:hAnsi="Tahoma" w:cs="Tahoma"/>
          <w:bCs/>
          <w:iCs/>
          <w:snapToGrid w:val="0"/>
          <w:sz w:val="20"/>
          <w:szCs w:val="20"/>
        </w:rPr>
        <w:t>áměstí 2, 386 01 Strakonice, IČ </w:t>
      </w:r>
      <w:r w:rsidR="004146F2" w:rsidRPr="008B3014">
        <w:rPr>
          <w:rFonts w:ascii="Tahoma" w:hAnsi="Tahoma" w:cs="Tahoma"/>
          <w:bCs/>
          <w:iCs/>
          <w:snapToGrid w:val="0"/>
          <w:sz w:val="20"/>
          <w:szCs w:val="20"/>
        </w:rPr>
        <w:t>00251810, jako dárcem a obcí Horní Poříčí, se sídlem Dolní Poří</w:t>
      </w:r>
      <w:r w:rsidR="000E7921">
        <w:rPr>
          <w:rFonts w:ascii="Tahoma" w:hAnsi="Tahoma" w:cs="Tahoma"/>
          <w:bCs/>
          <w:iCs/>
          <w:snapToGrid w:val="0"/>
          <w:sz w:val="20"/>
          <w:szCs w:val="20"/>
        </w:rPr>
        <w:t>čí 100, 386 01 Horní Poříčí, IČ </w:t>
      </w:r>
      <w:r w:rsidR="004146F2" w:rsidRPr="008B3014">
        <w:rPr>
          <w:rFonts w:ascii="Tahoma" w:hAnsi="Tahoma" w:cs="Tahoma"/>
          <w:bCs/>
          <w:iCs/>
          <w:snapToGrid w:val="0"/>
          <w:sz w:val="20"/>
          <w:szCs w:val="20"/>
        </w:rPr>
        <w:t xml:space="preserve">00477133, jako obdarovaným. Předmětem smlouvy je finanční dar ve výši 10.000 Kč určený na rekonstrukci mostu přes řeku Otavu v obci Horní Poříčí. </w:t>
      </w:r>
    </w:p>
    <w:p w14:paraId="3BF0DF3D" w14:textId="77777777" w:rsidR="00571756" w:rsidRPr="008B3014" w:rsidRDefault="00571756" w:rsidP="00571756">
      <w:pPr>
        <w:pStyle w:val="Nadpis3"/>
        <w:rPr>
          <w:rFonts w:ascii="Tahoma" w:hAnsi="Tahoma" w:cs="Tahoma"/>
          <w:snapToGrid w:val="0"/>
          <w:sz w:val="20"/>
          <w:szCs w:val="20"/>
        </w:rPr>
      </w:pPr>
    </w:p>
    <w:p w14:paraId="22B1093E" w14:textId="1F1494F5" w:rsidR="00571756" w:rsidRPr="008B3014" w:rsidRDefault="00571756" w:rsidP="00571756">
      <w:pPr>
        <w:pStyle w:val="Nadpis3"/>
        <w:rPr>
          <w:rFonts w:ascii="Tahoma" w:hAnsi="Tahoma" w:cs="Tahoma"/>
          <w:snapToGrid w:val="0"/>
          <w:sz w:val="20"/>
          <w:szCs w:val="20"/>
        </w:rPr>
      </w:pPr>
      <w:r w:rsidRPr="008B3014">
        <w:rPr>
          <w:rFonts w:ascii="Tahoma" w:hAnsi="Tahoma" w:cs="Tahoma"/>
          <w:snapToGrid w:val="0"/>
          <w:sz w:val="20"/>
          <w:szCs w:val="20"/>
        </w:rPr>
        <w:t>II</w:t>
      </w:r>
      <w:r w:rsidR="003F62B4">
        <w:rPr>
          <w:rFonts w:ascii="Tahoma" w:hAnsi="Tahoma" w:cs="Tahoma"/>
          <w:snapToGrid w:val="0"/>
          <w:sz w:val="20"/>
          <w:szCs w:val="20"/>
        </w:rPr>
        <w:t>I</w:t>
      </w:r>
      <w:r w:rsidRPr="008B3014">
        <w:rPr>
          <w:rFonts w:ascii="Tahoma" w:hAnsi="Tahoma" w:cs="Tahoma"/>
          <w:snapToGrid w:val="0"/>
          <w:sz w:val="20"/>
          <w:szCs w:val="20"/>
        </w:rPr>
        <w:t>. Pověřuje</w:t>
      </w:r>
    </w:p>
    <w:p w14:paraId="7CBC6071" w14:textId="77777777" w:rsidR="00571756" w:rsidRPr="008B3014" w:rsidRDefault="00571756" w:rsidP="00571756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  <w:r w:rsidRPr="008B3014">
        <w:rPr>
          <w:rFonts w:ascii="Tahoma" w:hAnsi="Tahoma" w:cs="Tahoma"/>
          <w:bCs/>
          <w:iCs/>
          <w:snapToGrid w:val="0"/>
          <w:sz w:val="20"/>
          <w:szCs w:val="20"/>
        </w:rPr>
        <w:t>starostu města podpisem darovací smlouvy v předloženém znění.</w:t>
      </w:r>
    </w:p>
    <w:p w14:paraId="61CCD5D8" w14:textId="77777777" w:rsidR="00571756" w:rsidRPr="008B3014" w:rsidRDefault="00571756" w:rsidP="00571756">
      <w:pPr>
        <w:rPr>
          <w:rFonts w:ascii="Tahoma" w:hAnsi="Tahoma" w:cs="Tahoma"/>
          <w:sz w:val="20"/>
          <w:szCs w:val="20"/>
        </w:rPr>
      </w:pPr>
    </w:p>
    <w:p w14:paraId="6BE4F308" w14:textId="77777777" w:rsidR="00571756" w:rsidRPr="00571756" w:rsidRDefault="00571756" w:rsidP="00676A38">
      <w:pPr>
        <w:rPr>
          <w:rFonts w:ascii="Tahoma" w:hAnsi="Tahoma" w:cs="Tahoma"/>
          <w:sz w:val="20"/>
          <w:szCs w:val="20"/>
        </w:rPr>
      </w:pPr>
    </w:p>
    <w:sectPr w:rsidR="00571756" w:rsidRPr="00571756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7A5B9" w14:textId="77777777" w:rsidR="008D533B" w:rsidRDefault="008D533B" w:rsidP="008D533B">
      <w:r>
        <w:separator/>
      </w:r>
    </w:p>
  </w:endnote>
  <w:endnote w:type="continuationSeparator" w:id="0">
    <w:p w14:paraId="201177D1" w14:textId="77777777" w:rsidR="008D533B" w:rsidRDefault="008D533B" w:rsidP="008D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F18BE" w14:textId="77777777" w:rsidR="008D533B" w:rsidRDefault="008D533B" w:rsidP="008D533B">
      <w:r>
        <w:separator/>
      </w:r>
    </w:p>
  </w:footnote>
  <w:footnote w:type="continuationSeparator" w:id="0">
    <w:p w14:paraId="7DBE7D33" w14:textId="77777777" w:rsidR="008D533B" w:rsidRDefault="008D533B" w:rsidP="008D5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C6268B"/>
    <w:multiLevelType w:val="hybridMultilevel"/>
    <w:tmpl w:val="72941604"/>
    <w:lvl w:ilvl="0" w:tplc="53880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04375"/>
    <w:multiLevelType w:val="hybridMultilevel"/>
    <w:tmpl w:val="5CD6F36C"/>
    <w:lvl w:ilvl="0" w:tplc="4670B850">
      <w:start w:val="1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3D88410E"/>
    <w:multiLevelType w:val="hybridMultilevel"/>
    <w:tmpl w:val="064CF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1F6859"/>
    <w:multiLevelType w:val="hybridMultilevel"/>
    <w:tmpl w:val="069CD75E"/>
    <w:lvl w:ilvl="0" w:tplc="B51223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BA0C76"/>
    <w:multiLevelType w:val="hybridMultilevel"/>
    <w:tmpl w:val="99B654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A40F9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4D1FEE"/>
    <w:multiLevelType w:val="hybridMultilevel"/>
    <w:tmpl w:val="B1546ADE"/>
    <w:lvl w:ilvl="0" w:tplc="C9AED4C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AB5DB8"/>
    <w:multiLevelType w:val="hybridMultilevel"/>
    <w:tmpl w:val="660C701C"/>
    <w:lvl w:ilvl="0" w:tplc="5F6C4A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B7128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26"/>
  </w:num>
  <w:num w:numId="5">
    <w:abstractNumId w:val="1"/>
  </w:num>
  <w:num w:numId="6">
    <w:abstractNumId w:val="29"/>
  </w:num>
  <w:num w:numId="7">
    <w:abstractNumId w:val="20"/>
  </w:num>
  <w:num w:numId="8">
    <w:abstractNumId w:val="27"/>
  </w:num>
  <w:num w:numId="9">
    <w:abstractNumId w:val="9"/>
  </w:num>
  <w:num w:numId="10">
    <w:abstractNumId w:val="22"/>
  </w:num>
  <w:num w:numId="11">
    <w:abstractNumId w:val="28"/>
  </w:num>
  <w:num w:numId="12">
    <w:abstractNumId w:val="23"/>
  </w:num>
  <w:num w:numId="13">
    <w:abstractNumId w:val="2"/>
  </w:num>
  <w:num w:numId="14">
    <w:abstractNumId w:val="0"/>
  </w:num>
  <w:num w:numId="15">
    <w:abstractNumId w:val="10"/>
  </w:num>
  <w:num w:numId="16">
    <w:abstractNumId w:val="14"/>
  </w:num>
  <w:num w:numId="17">
    <w:abstractNumId w:val="21"/>
  </w:num>
  <w:num w:numId="18">
    <w:abstractNumId w:val="15"/>
  </w:num>
  <w:num w:numId="19">
    <w:abstractNumId w:val="25"/>
  </w:num>
  <w:num w:numId="20">
    <w:abstractNumId w:val="5"/>
  </w:num>
  <w:num w:numId="21">
    <w:abstractNumId w:val="19"/>
  </w:num>
  <w:num w:numId="22">
    <w:abstractNumId w:val="16"/>
  </w:num>
  <w:num w:numId="23">
    <w:abstractNumId w:val="8"/>
  </w:num>
  <w:num w:numId="24">
    <w:abstractNumId w:val="6"/>
  </w:num>
  <w:num w:numId="25">
    <w:abstractNumId w:val="18"/>
  </w:num>
  <w:num w:numId="26">
    <w:abstractNumId w:val="12"/>
  </w:num>
  <w:num w:numId="27">
    <w:abstractNumId w:val="30"/>
  </w:num>
  <w:num w:numId="28">
    <w:abstractNumId w:val="17"/>
  </w:num>
  <w:num w:numId="29">
    <w:abstractNumId w:val="24"/>
  </w:num>
  <w:num w:numId="30">
    <w:abstractNumId w:val="13"/>
  </w:num>
  <w:num w:numId="3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0564"/>
    <w:rsid w:val="00001B6E"/>
    <w:rsid w:val="00002464"/>
    <w:rsid w:val="00005CC5"/>
    <w:rsid w:val="000079B7"/>
    <w:rsid w:val="00013FDD"/>
    <w:rsid w:val="00016BE3"/>
    <w:rsid w:val="00020E9F"/>
    <w:rsid w:val="00024C2B"/>
    <w:rsid w:val="00036FC0"/>
    <w:rsid w:val="00043A1B"/>
    <w:rsid w:val="0005028C"/>
    <w:rsid w:val="00052A74"/>
    <w:rsid w:val="00067113"/>
    <w:rsid w:val="00077136"/>
    <w:rsid w:val="000835C8"/>
    <w:rsid w:val="00084376"/>
    <w:rsid w:val="00085406"/>
    <w:rsid w:val="00087119"/>
    <w:rsid w:val="00094215"/>
    <w:rsid w:val="00096113"/>
    <w:rsid w:val="000A0861"/>
    <w:rsid w:val="000A6BC1"/>
    <w:rsid w:val="000A77CB"/>
    <w:rsid w:val="000A7C06"/>
    <w:rsid w:val="000B1182"/>
    <w:rsid w:val="000B169A"/>
    <w:rsid w:val="000C33BB"/>
    <w:rsid w:val="000C46E2"/>
    <w:rsid w:val="000C6113"/>
    <w:rsid w:val="000D3853"/>
    <w:rsid w:val="000E180F"/>
    <w:rsid w:val="000E5EAF"/>
    <w:rsid w:val="000E62D6"/>
    <w:rsid w:val="000E6353"/>
    <w:rsid w:val="000E7921"/>
    <w:rsid w:val="000F5D1A"/>
    <w:rsid w:val="00100B2A"/>
    <w:rsid w:val="00102479"/>
    <w:rsid w:val="00102722"/>
    <w:rsid w:val="00104824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11C1"/>
    <w:rsid w:val="001564A3"/>
    <w:rsid w:val="00156733"/>
    <w:rsid w:val="00161B19"/>
    <w:rsid w:val="00161D57"/>
    <w:rsid w:val="001665E9"/>
    <w:rsid w:val="00166746"/>
    <w:rsid w:val="00166B0F"/>
    <w:rsid w:val="0017026A"/>
    <w:rsid w:val="00183B49"/>
    <w:rsid w:val="0019492A"/>
    <w:rsid w:val="001956E1"/>
    <w:rsid w:val="001B1D2B"/>
    <w:rsid w:val="001B26EA"/>
    <w:rsid w:val="001B5877"/>
    <w:rsid w:val="001C1E67"/>
    <w:rsid w:val="001C395E"/>
    <w:rsid w:val="001D2FEC"/>
    <w:rsid w:val="001D582E"/>
    <w:rsid w:val="001D63B0"/>
    <w:rsid w:val="001D7808"/>
    <w:rsid w:val="001D7D25"/>
    <w:rsid w:val="001E0295"/>
    <w:rsid w:val="001E1F35"/>
    <w:rsid w:val="001E4E26"/>
    <w:rsid w:val="001E6445"/>
    <w:rsid w:val="001E697C"/>
    <w:rsid w:val="001E6E67"/>
    <w:rsid w:val="001E7797"/>
    <w:rsid w:val="001E78A6"/>
    <w:rsid w:val="001F1B8D"/>
    <w:rsid w:val="001F2898"/>
    <w:rsid w:val="00206C47"/>
    <w:rsid w:val="00206E2B"/>
    <w:rsid w:val="00211CC6"/>
    <w:rsid w:val="00216B2F"/>
    <w:rsid w:val="00217EDF"/>
    <w:rsid w:val="00223606"/>
    <w:rsid w:val="00224392"/>
    <w:rsid w:val="00242D23"/>
    <w:rsid w:val="00245BBC"/>
    <w:rsid w:val="00253FA7"/>
    <w:rsid w:val="00256741"/>
    <w:rsid w:val="00257FE8"/>
    <w:rsid w:val="00263D02"/>
    <w:rsid w:val="00264AEC"/>
    <w:rsid w:val="00267591"/>
    <w:rsid w:val="00274209"/>
    <w:rsid w:val="00275F93"/>
    <w:rsid w:val="00280C7E"/>
    <w:rsid w:val="00290015"/>
    <w:rsid w:val="00292EDD"/>
    <w:rsid w:val="0029381C"/>
    <w:rsid w:val="00294329"/>
    <w:rsid w:val="002A1B0E"/>
    <w:rsid w:val="002B0832"/>
    <w:rsid w:val="002B722A"/>
    <w:rsid w:val="002C4339"/>
    <w:rsid w:val="002C6946"/>
    <w:rsid w:val="002C7340"/>
    <w:rsid w:val="002D0896"/>
    <w:rsid w:val="002D0B3F"/>
    <w:rsid w:val="002D29A6"/>
    <w:rsid w:val="002D549F"/>
    <w:rsid w:val="002E2E4F"/>
    <w:rsid w:val="002E3C56"/>
    <w:rsid w:val="002F2AF9"/>
    <w:rsid w:val="002F58A7"/>
    <w:rsid w:val="002F7D58"/>
    <w:rsid w:val="00302B54"/>
    <w:rsid w:val="003052AD"/>
    <w:rsid w:val="003160A0"/>
    <w:rsid w:val="003175F8"/>
    <w:rsid w:val="00322E7B"/>
    <w:rsid w:val="00322F63"/>
    <w:rsid w:val="00326D7D"/>
    <w:rsid w:val="00330DA7"/>
    <w:rsid w:val="003369F7"/>
    <w:rsid w:val="0033751D"/>
    <w:rsid w:val="00344D47"/>
    <w:rsid w:val="00346BB0"/>
    <w:rsid w:val="00352F57"/>
    <w:rsid w:val="00354733"/>
    <w:rsid w:val="003555A9"/>
    <w:rsid w:val="00357198"/>
    <w:rsid w:val="00360DCE"/>
    <w:rsid w:val="00363C66"/>
    <w:rsid w:val="00371FB1"/>
    <w:rsid w:val="00372282"/>
    <w:rsid w:val="00372E46"/>
    <w:rsid w:val="00373578"/>
    <w:rsid w:val="003740FD"/>
    <w:rsid w:val="00382190"/>
    <w:rsid w:val="0038537A"/>
    <w:rsid w:val="00391B9F"/>
    <w:rsid w:val="00393DBA"/>
    <w:rsid w:val="00397CD9"/>
    <w:rsid w:val="003A1ACA"/>
    <w:rsid w:val="003A3D4D"/>
    <w:rsid w:val="003A435A"/>
    <w:rsid w:val="003A6DB3"/>
    <w:rsid w:val="003B0E89"/>
    <w:rsid w:val="003C7661"/>
    <w:rsid w:val="003D4F75"/>
    <w:rsid w:val="003D5DA3"/>
    <w:rsid w:val="003E10BC"/>
    <w:rsid w:val="003E1120"/>
    <w:rsid w:val="003E35C3"/>
    <w:rsid w:val="003E55F8"/>
    <w:rsid w:val="003E7F17"/>
    <w:rsid w:val="003F19A8"/>
    <w:rsid w:val="003F26D6"/>
    <w:rsid w:val="003F4134"/>
    <w:rsid w:val="003F4CB6"/>
    <w:rsid w:val="003F60E2"/>
    <w:rsid w:val="003F62B4"/>
    <w:rsid w:val="004008B8"/>
    <w:rsid w:val="004034DB"/>
    <w:rsid w:val="00403DFF"/>
    <w:rsid w:val="00404D7F"/>
    <w:rsid w:val="00410430"/>
    <w:rsid w:val="00412C32"/>
    <w:rsid w:val="004133EB"/>
    <w:rsid w:val="004146F2"/>
    <w:rsid w:val="004220EB"/>
    <w:rsid w:val="00422C64"/>
    <w:rsid w:val="004253C0"/>
    <w:rsid w:val="00427F8A"/>
    <w:rsid w:val="00430EC5"/>
    <w:rsid w:val="0043109B"/>
    <w:rsid w:val="00432D87"/>
    <w:rsid w:val="00433C25"/>
    <w:rsid w:val="0044356B"/>
    <w:rsid w:val="004440BD"/>
    <w:rsid w:val="00445DD1"/>
    <w:rsid w:val="00447D0B"/>
    <w:rsid w:val="004538BF"/>
    <w:rsid w:val="00464107"/>
    <w:rsid w:val="00465923"/>
    <w:rsid w:val="00466796"/>
    <w:rsid w:val="00471F08"/>
    <w:rsid w:val="00473D88"/>
    <w:rsid w:val="00476C6F"/>
    <w:rsid w:val="0048012C"/>
    <w:rsid w:val="00481092"/>
    <w:rsid w:val="00487678"/>
    <w:rsid w:val="00491794"/>
    <w:rsid w:val="00492E32"/>
    <w:rsid w:val="004A1C08"/>
    <w:rsid w:val="004A3055"/>
    <w:rsid w:val="004B0833"/>
    <w:rsid w:val="004B3CCE"/>
    <w:rsid w:val="004B5B74"/>
    <w:rsid w:val="004B5F76"/>
    <w:rsid w:val="004B7B4A"/>
    <w:rsid w:val="004B7E70"/>
    <w:rsid w:val="004C073D"/>
    <w:rsid w:val="004C14B1"/>
    <w:rsid w:val="004C3C14"/>
    <w:rsid w:val="004C5491"/>
    <w:rsid w:val="004C75E5"/>
    <w:rsid w:val="004D2A58"/>
    <w:rsid w:val="004D31E3"/>
    <w:rsid w:val="004D3FEB"/>
    <w:rsid w:val="004E1352"/>
    <w:rsid w:val="004E446F"/>
    <w:rsid w:val="004E5962"/>
    <w:rsid w:val="004E5B0D"/>
    <w:rsid w:val="004F111F"/>
    <w:rsid w:val="004F3AB2"/>
    <w:rsid w:val="004F5290"/>
    <w:rsid w:val="004F6997"/>
    <w:rsid w:val="00500676"/>
    <w:rsid w:val="00500BEA"/>
    <w:rsid w:val="00500C26"/>
    <w:rsid w:val="00503620"/>
    <w:rsid w:val="0050455F"/>
    <w:rsid w:val="00506CEA"/>
    <w:rsid w:val="00515C95"/>
    <w:rsid w:val="00522A57"/>
    <w:rsid w:val="00522C5B"/>
    <w:rsid w:val="00524781"/>
    <w:rsid w:val="005265A1"/>
    <w:rsid w:val="00527B29"/>
    <w:rsid w:val="00530CCA"/>
    <w:rsid w:val="00540FF0"/>
    <w:rsid w:val="00554488"/>
    <w:rsid w:val="00555336"/>
    <w:rsid w:val="0056378C"/>
    <w:rsid w:val="005641A9"/>
    <w:rsid w:val="00564972"/>
    <w:rsid w:val="00564F1B"/>
    <w:rsid w:val="00571569"/>
    <w:rsid w:val="00571756"/>
    <w:rsid w:val="00574B36"/>
    <w:rsid w:val="00577847"/>
    <w:rsid w:val="00585045"/>
    <w:rsid w:val="00586781"/>
    <w:rsid w:val="0059158B"/>
    <w:rsid w:val="005A56D2"/>
    <w:rsid w:val="005A5C94"/>
    <w:rsid w:val="005B2D03"/>
    <w:rsid w:val="005B61D0"/>
    <w:rsid w:val="005C069A"/>
    <w:rsid w:val="005C1394"/>
    <w:rsid w:val="005C2F11"/>
    <w:rsid w:val="005C31DE"/>
    <w:rsid w:val="005C5039"/>
    <w:rsid w:val="005C50A8"/>
    <w:rsid w:val="005D076E"/>
    <w:rsid w:val="005D6340"/>
    <w:rsid w:val="005D698E"/>
    <w:rsid w:val="005D6DB6"/>
    <w:rsid w:val="005D7ACF"/>
    <w:rsid w:val="005F464B"/>
    <w:rsid w:val="00602900"/>
    <w:rsid w:val="006139F7"/>
    <w:rsid w:val="00614052"/>
    <w:rsid w:val="006174A7"/>
    <w:rsid w:val="00620132"/>
    <w:rsid w:val="0062046A"/>
    <w:rsid w:val="00624640"/>
    <w:rsid w:val="0062486C"/>
    <w:rsid w:val="006276C1"/>
    <w:rsid w:val="0063004E"/>
    <w:rsid w:val="006360A1"/>
    <w:rsid w:val="0064468C"/>
    <w:rsid w:val="0064504E"/>
    <w:rsid w:val="006454A9"/>
    <w:rsid w:val="00645B1C"/>
    <w:rsid w:val="00646550"/>
    <w:rsid w:val="00654B8D"/>
    <w:rsid w:val="00655BD3"/>
    <w:rsid w:val="006617B0"/>
    <w:rsid w:val="0066272D"/>
    <w:rsid w:val="00665016"/>
    <w:rsid w:val="006724A6"/>
    <w:rsid w:val="00676A38"/>
    <w:rsid w:val="00680C50"/>
    <w:rsid w:val="00682FA1"/>
    <w:rsid w:val="00685862"/>
    <w:rsid w:val="00691229"/>
    <w:rsid w:val="00691575"/>
    <w:rsid w:val="006917E2"/>
    <w:rsid w:val="006960CF"/>
    <w:rsid w:val="006966E1"/>
    <w:rsid w:val="0069782B"/>
    <w:rsid w:val="006A1A92"/>
    <w:rsid w:val="006A49B4"/>
    <w:rsid w:val="006A7CCD"/>
    <w:rsid w:val="006C1765"/>
    <w:rsid w:val="006D27E9"/>
    <w:rsid w:val="006D3F60"/>
    <w:rsid w:val="006F3E0B"/>
    <w:rsid w:val="006F5A73"/>
    <w:rsid w:val="0070244C"/>
    <w:rsid w:val="00702478"/>
    <w:rsid w:val="00710D8B"/>
    <w:rsid w:val="007116A8"/>
    <w:rsid w:val="00716404"/>
    <w:rsid w:val="00717DE3"/>
    <w:rsid w:val="00735990"/>
    <w:rsid w:val="00736BF1"/>
    <w:rsid w:val="00736BF8"/>
    <w:rsid w:val="00736F31"/>
    <w:rsid w:val="00737FA0"/>
    <w:rsid w:val="00743580"/>
    <w:rsid w:val="0075777C"/>
    <w:rsid w:val="007646D2"/>
    <w:rsid w:val="00765F9A"/>
    <w:rsid w:val="007665C5"/>
    <w:rsid w:val="00766625"/>
    <w:rsid w:val="0077043F"/>
    <w:rsid w:val="00770D77"/>
    <w:rsid w:val="00776F9A"/>
    <w:rsid w:val="00782680"/>
    <w:rsid w:val="00787618"/>
    <w:rsid w:val="00797E84"/>
    <w:rsid w:val="007A2432"/>
    <w:rsid w:val="007A4057"/>
    <w:rsid w:val="007A57AC"/>
    <w:rsid w:val="007A5946"/>
    <w:rsid w:val="007A5C7D"/>
    <w:rsid w:val="007B1568"/>
    <w:rsid w:val="007B1739"/>
    <w:rsid w:val="007B598E"/>
    <w:rsid w:val="007B7CE0"/>
    <w:rsid w:val="007C008E"/>
    <w:rsid w:val="007C23D9"/>
    <w:rsid w:val="007D024A"/>
    <w:rsid w:val="007D30D8"/>
    <w:rsid w:val="007D61F4"/>
    <w:rsid w:val="007E38E5"/>
    <w:rsid w:val="007F13CF"/>
    <w:rsid w:val="007F369C"/>
    <w:rsid w:val="007F4190"/>
    <w:rsid w:val="007F41F8"/>
    <w:rsid w:val="007F51E5"/>
    <w:rsid w:val="007F5578"/>
    <w:rsid w:val="007F6188"/>
    <w:rsid w:val="007F62C2"/>
    <w:rsid w:val="008005F3"/>
    <w:rsid w:val="00801C1B"/>
    <w:rsid w:val="008030F0"/>
    <w:rsid w:val="008035FD"/>
    <w:rsid w:val="00806C7C"/>
    <w:rsid w:val="008153CD"/>
    <w:rsid w:val="00826AF2"/>
    <w:rsid w:val="00831EF9"/>
    <w:rsid w:val="00834397"/>
    <w:rsid w:val="0084469E"/>
    <w:rsid w:val="00845BD1"/>
    <w:rsid w:val="0085121A"/>
    <w:rsid w:val="00851A96"/>
    <w:rsid w:val="008621CC"/>
    <w:rsid w:val="00867E91"/>
    <w:rsid w:val="00867EF1"/>
    <w:rsid w:val="00870E11"/>
    <w:rsid w:val="008712C0"/>
    <w:rsid w:val="008836DE"/>
    <w:rsid w:val="008979F1"/>
    <w:rsid w:val="008A3BFD"/>
    <w:rsid w:val="008B1317"/>
    <w:rsid w:val="008B3014"/>
    <w:rsid w:val="008B4B96"/>
    <w:rsid w:val="008D27B3"/>
    <w:rsid w:val="008D533B"/>
    <w:rsid w:val="008E0205"/>
    <w:rsid w:val="008E04B9"/>
    <w:rsid w:val="008E1C85"/>
    <w:rsid w:val="008E3E4B"/>
    <w:rsid w:val="008F1F41"/>
    <w:rsid w:val="008F2CF5"/>
    <w:rsid w:val="008F7037"/>
    <w:rsid w:val="00900ADF"/>
    <w:rsid w:val="009011F2"/>
    <w:rsid w:val="00901422"/>
    <w:rsid w:val="00901BC1"/>
    <w:rsid w:val="00907975"/>
    <w:rsid w:val="00907D6D"/>
    <w:rsid w:val="00907ECE"/>
    <w:rsid w:val="00912D55"/>
    <w:rsid w:val="00914C9F"/>
    <w:rsid w:val="00915350"/>
    <w:rsid w:val="009164C6"/>
    <w:rsid w:val="009225A5"/>
    <w:rsid w:val="00922A47"/>
    <w:rsid w:val="0092302A"/>
    <w:rsid w:val="00930F3C"/>
    <w:rsid w:val="00931394"/>
    <w:rsid w:val="00931922"/>
    <w:rsid w:val="0093792A"/>
    <w:rsid w:val="00937EEE"/>
    <w:rsid w:val="00940194"/>
    <w:rsid w:val="0094095D"/>
    <w:rsid w:val="00941A30"/>
    <w:rsid w:val="00943777"/>
    <w:rsid w:val="00946E89"/>
    <w:rsid w:val="009509E1"/>
    <w:rsid w:val="009555B1"/>
    <w:rsid w:val="00955AF9"/>
    <w:rsid w:val="00957F3E"/>
    <w:rsid w:val="00961FC8"/>
    <w:rsid w:val="009747B2"/>
    <w:rsid w:val="0097645F"/>
    <w:rsid w:val="00981254"/>
    <w:rsid w:val="00982755"/>
    <w:rsid w:val="009846F9"/>
    <w:rsid w:val="00984A32"/>
    <w:rsid w:val="00992DE3"/>
    <w:rsid w:val="00995966"/>
    <w:rsid w:val="00995CCE"/>
    <w:rsid w:val="009A1471"/>
    <w:rsid w:val="009A271E"/>
    <w:rsid w:val="009B09D9"/>
    <w:rsid w:val="009B236C"/>
    <w:rsid w:val="009C4633"/>
    <w:rsid w:val="009D0B50"/>
    <w:rsid w:val="009D5D05"/>
    <w:rsid w:val="009E06FB"/>
    <w:rsid w:val="009E096A"/>
    <w:rsid w:val="009E0A00"/>
    <w:rsid w:val="009E43D4"/>
    <w:rsid w:val="009E49C1"/>
    <w:rsid w:val="009F243C"/>
    <w:rsid w:val="009F2507"/>
    <w:rsid w:val="009F2E96"/>
    <w:rsid w:val="009F3E7D"/>
    <w:rsid w:val="009F3FAC"/>
    <w:rsid w:val="009F4861"/>
    <w:rsid w:val="009F5EB3"/>
    <w:rsid w:val="00A01521"/>
    <w:rsid w:val="00A0344F"/>
    <w:rsid w:val="00A050D4"/>
    <w:rsid w:val="00A14B64"/>
    <w:rsid w:val="00A15D10"/>
    <w:rsid w:val="00A20129"/>
    <w:rsid w:val="00A22BED"/>
    <w:rsid w:val="00A3295C"/>
    <w:rsid w:val="00A3663F"/>
    <w:rsid w:val="00A36D2E"/>
    <w:rsid w:val="00A37D33"/>
    <w:rsid w:val="00A4285F"/>
    <w:rsid w:val="00A449E9"/>
    <w:rsid w:val="00A44A4C"/>
    <w:rsid w:val="00A44DB6"/>
    <w:rsid w:val="00A453D4"/>
    <w:rsid w:val="00A47BA1"/>
    <w:rsid w:val="00A54043"/>
    <w:rsid w:val="00A570A0"/>
    <w:rsid w:val="00A6151C"/>
    <w:rsid w:val="00A62628"/>
    <w:rsid w:val="00A64B7F"/>
    <w:rsid w:val="00A64FB6"/>
    <w:rsid w:val="00A66E5B"/>
    <w:rsid w:val="00A72EED"/>
    <w:rsid w:val="00A80DB0"/>
    <w:rsid w:val="00A9053A"/>
    <w:rsid w:val="00A96821"/>
    <w:rsid w:val="00A97CC7"/>
    <w:rsid w:val="00AB2DEB"/>
    <w:rsid w:val="00AC000F"/>
    <w:rsid w:val="00AC0677"/>
    <w:rsid w:val="00AC12EC"/>
    <w:rsid w:val="00AC1A09"/>
    <w:rsid w:val="00AC5978"/>
    <w:rsid w:val="00AC5F4E"/>
    <w:rsid w:val="00AC6BEA"/>
    <w:rsid w:val="00AC7D4C"/>
    <w:rsid w:val="00AD2EB1"/>
    <w:rsid w:val="00AD6146"/>
    <w:rsid w:val="00AD7123"/>
    <w:rsid w:val="00AE0DC8"/>
    <w:rsid w:val="00AE1A47"/>
    <w:rsid w:val="00AE2CE2"/>
    <w:rsid w:val="00AE5892"/>
    <w:rsid w:val="00AE60E8"/>
    <w:rsid w:val="00AF7702"/>
    <w:rsid w:val="00B009B6"/>
    <w:rsid w:val="00B01786"/>
    <w:rsid w:val="00B02CF0"/>
    <w:rsid w:val="00B0612A"/>
    <w:rsid w:val="00B21DEF"/>
    <w:rsid w:val="00B26213"/>
    <w:rsid w:val="00B3079A"/>
    <w:rsid w:val="00B36185"/>
    <w:rsid w:val="00B43F96"/>
    <w:rsid w:val="00B450CA"/>
    <w:rsid w:val="00B46A09"/>
    <w:rsid w:val="00B47BE9"/>
    <w:rsid w:val="00B526D2"/>
    <w:rsid w:val="00B529BC"/>
    <w:rsid w:val="00B55A64"/>
    <w:rsid w:val="00B56DA1"/>
    <w:rsid w:val="00B60CEC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58F9"/>
    <w:rsid w:val="00B77F02"/>
    <w:rsid w:val="00B80A07"/>
    <w:rsid w:val="00B81C85"/>
    <w:rsid w:val="00B94301"/>
    <w:rsid w:val="00B9469A"/>
    <w:rsid w:val="00B956A2"/>
    <w:rsid w:val="00B97BC3"/>
    <w:rsid w:val="00BA284D"/>
    <w:rsid w:val="00BA4323"/>
    <w:rsid w:val="00BA4796"/>
    <w:rsid w:val="00BA75B3"/>
    <w:rsid w:val="00BB5E1F"/>
    <w:rsid w:val="00BB6290"/>
    <w:rsid w:val="00BB746F"/>
    <w:rsid w:val="00BC5589"/>
    <w:rsid w:val="00BC7806"/>
    <w:rsid w:val="00BC78D6"/>
    <w:rsid w:val="00BC7ACA"/>
    <w:rsid w:val="00BD00D4"/>
    <w:rsid w:val="00BD28F2"/>
    <w:rsid w:val="00BD4D3B"/>
    <w:rsid w:val="00BD4E48"/>
    <w:rsid w:val="00BE0EFC"/>
    <w:rsid w:val="00BE372F"/>
    <w:rsid w:val="00BE77B8"/>
    <w:rsid w:val="00BF084B"/>
    <w:rsid w:val="00BF1030"/>
    <w:rsid w:val="00BF4E76"/>
    <w:rsid w:val="00BF657E"/>
    <w:rsid w:val="00BF6FAC"/>
    <w:rsid w:val="00C00889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299D"/>
    <w:rsid w:val="00C44026"/>
    <w:rsid w:val="00C44C15"/>
    <w:rsid w:val="00C52C90"/>
    <w:rsid w:val="00C54AEC"/>
    <w:rsid w:val="00C56885"/>
    <w:rsid w:val="00C57E77"/>
    <w:rsid w:val="00C65EC9"/>
    <w:rsid w:val="00C6762B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1373"/>
    <w:rsid w:val="00CD3E0F"/>
    <w:rsid w:val="00CE2432"/>
    <w:rsid w:val="00CE65CC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3E5"/>
    <w:rsid w:val="00D8080B"/>
    <w:rsid w:val="00D844E0"/>
    <w:rsid w:val="00D90FDC"/>
    <w:rsid w:val="00D910D9"/>
    <w:rsid w:val="00D92952"/>
    <w:rsid w:val="00D93D24"/>
    <w:rsid w:val="00D96D0B"/>
    <w:rsid w:val="00DA4025"/>
    <w:rsid w:val="00DA46D7"/>
    <w:rsid w:val="00DA55A1"/>
    <w:rsid w:val="00DC2FC8"/>
    <w:rsid w:val="00DC3052"/>
    <w:rsid w:val="00DD060F"/>
    <w:rsid w:val="00DD3AF6"/>
    <w:rsid w:val="00DD73A6"/>
    <w:rsid w:val="00DE040A"/>
    <w:rsid w:val="00DE1531"/>
    <w:rsid w:val="00DE1984"/>
    <w:rsid w:val="00DE29AF"/>
    <w:rsid w:val="00DF0198"/>
    <w:rsid w:val="00DF6985"/>
    <w:rsid w:val="00E03375"/>
    <w:rsid w:val="00E03475"/>
    <w:rsid w:val="00E0541F"/>
    <w:rsid w:val="00E10B17"/>
    <w:rsid w:val="00E226CE"/>
    <w:rsid w:val="00E31475"/>
    <w:rsid w:val="00E33F5E"/>
    <w:rsid w:val="00E348E4"/>
    <w:rsid w:val="00E37DD5"/>
    <w:rsid w:val="00E40399"/>
    <w:rsid w:val="00E4250E"/>
    <w:rsid w:val="00E51C3D"/>
    <w:rsid w:val="00E52C71"/>
    <w:rsid w:val="00E55622"/>
    <w:rsid w:val="00E62B6D"/>
    <w:rsid w:val="00E65666"/>
    <w:rsid w:val="00E73EAC"/>
    <w:rsid w:val="00E80584"/>
    <w:rsid w:val="00E87AF4"/>
    <w:rsid w:val="00E903DF"/>
    <w:rsid w:val="00E93088"/>
    <w:rsid w:val="00EA4328"/>
    <w:rsid w:val="00EA5553"/>
    <w:rsid w:val="00EA55F4"/>
    <w:rsid w:val="00EA5BAC"/>
    <w:rsid w:val="00EC17DD"/>
    <w:rsid w:val="00EC1B5F"/>
    <w:rsid w:val="00EC1F4C"/>
    <w:rsid w:val="00EC5677"/>
    <w:rsid w:val="00EC62C7"/>
    <w:rsid w:val="00EC6A0B"/>
    <w:rsid w:val="00EC6D0B"/>
    <w:rsid w:val="00EC7D32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1B2E"/>
    <w:rsid w:val="00F148ED"/>
    <w:rsid w:val="00F14B3E"/>
    <w:rsid w:val="00F1723E"/>
    <w:rsid w:val="00F22591"/>
    <w:rsid w:val="00F27A85"/>
    <w:rsid w:val="00F3173D"/>
    <w:rsid w:val="00F31F07"/>
    <w:rsid w:val="00F3447A"/>
    <w:rsid w:val="00F34573"/>
    <w:rsid w:val="00F42D58"/>
    <w:rsid w:val="00F45F0B"/>
    <w:rsid w:val="00F5194D"/>
    <w:rsid w:val="00F60D41"/>
    <w:rsid w:val="00F701F6"/>
    <w:rsid w:val="00F757F0"/>
    <w:rsid w:val="00F76760"/>
    <w:rsid w:val="00F83C2F"/>
    <w:rsid w:val="00F90573"/>
    <w:rsid w:val="00F91602"/>
    <w:rsid w:val="00F93CB3"/>
    <w:rsid w:val="00F96978"/>
    <w:rsid w:val="00FA1422"/>
    <w:rsid w:val="00FA366D"/>
    <w:rsid w:val="00FA710A"/>
    <w:rsid w:val="00FB0E79"/>
    <w:rsid w:val="00FB2B24"/>
    <w:rsid w:val="00FB41BC"/>
    <w:rsid w:val="00FB7FC0"/>
    <w:rsid w:val="00FD3435"/>
    <w:rsid w:val="00FE636D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11178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link w:val="TextpoznpodarouChar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6D3F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3F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3F6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F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F60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56378C"/>
    <w:rPr>
      <w:color w:val="0000FF"/>
      <w:u w:val="single"/>
    </w:rPr>
  </w:style>
  <w:style w:type="character" w:customStyle="1" w:styleId="TextpoznpodarouChar">
    <w:name w:val="Text pozn. pod čarou Char"/>
    <w:link w:val="Textpoznpodarou"/>
    <w:semiHidden/>
    <w:rsid w:val="008D533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1B402-5ECE-4DEA-A862-4745824C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310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6</cp:revision>
  <cp:lastPrinted>2023-11-24T07:21:00Z</cp:lastPrinted>
  <dcterms:created xsi:type="dcterms:W3CDTF">2023-11-28T11:55:00Z</dcterms:created>
  <dcterms:modified xsi:type="dcterms:W3CDTF">2023-11-30T11:32:00Z</dcterms:modified>
</cp:coreProperties>
</file>