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2B1" w:rsidRDefault="003512B1" w:rsidP="003512B1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567DB" w:rsidRPr="00C71030" w:rsidRDefault="008F3A66" w:rsidP="001A65B8">
      <w:pPr>
        <w:pStyle w:val="Nadpis1"/>
        <w:rPr>
          <w:rFonts w:ascii="Tahoma" w:hAnsi="Tahoma" w:cs="Tahoma"/>
        </w:rPr>
      </w:pPr>
      <w:r>
        <w:rPr>
          <w:rFonts w:ascii="Tahoma" w:hAnsi="Tahoma" w:cs="Tahoma"/>
          <w:sz w:val="24"/>
          <w:szCs w:val="24"/>
        </w:rPr>
        <w:t>1</w:t>
      </w:r>
      <w:r w:rsidR="00A52928">
        <w:rPr>
          <w:rFonts w:ascii="Tahoma" w:hAnsi="Tahoma" w:cs="Tahoma"/>
          <w:sz w:val="24"/>
          <w:szCs w:val="24"/>
        </w:rPr>
        <w:t>4</w:t>
      </w:r>
      <w:r w:rsidR="008077E5" w:rsidRPr="00C71030">
        <w:rPr>
          <w:rFonts w:ascii="Tahoma" w:hAnsi="Tahoma" w:cs="Tahoma"/>
          <w:sz w:val="24"/>
          <w:szCs w:val="24"/>
        </w:rPr>
        <w:t>/0</w:t>
      </w:r>
      <w:r w:rsidR="00A52928">
        <w:rPr>
          <w:rFonts w:ascii="Tahoma" w:hAnsi="Tahoma" w:cs="Tahoma"/>
          <w:sz w:val="24"/>
          <w:szCs w:val="24"/>
        </w:rPr>
        <w:t>5</w:t>
      </w:r>
      <w:r>
        <w:rPr>
          <w:rFonts w:ascii="Tahoma" w:hAnsi="Tahoma" w:cs="Tahoma"/>
          <w:sz w:val="24"/>
          <w:szCs w:val="24"/>
        </w:rPr>
        <w:t xml:space="preserve"> finanční odbor</w:t>
      </w:r>
      <w:r w:rsidR="005929AC">
        <w:rPr>
          <w:rFonts w:ascii="Tahoma" w:hAnsi="Tahoma" w:cs="Tahoma"/>
          <w:sz w:val="24"/>
          <w:szCs w:val="24"/>
        </w:rPr>
        <w:t xml:space="preserve">, </w:t>
      </w:r>
      <w:r w:rsidR="005E4ACF">
        <w:rPr>
          <w:rFonts w:ascii="Tahoma" w:hAnsi="Tahoma" w:cs="Tahoma"/>
          <w:sz w:val="24"/>
          <w:szCs w:val="24"/>
        </w:rPr>
        <w:t>kontrolní výbor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C71030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C71030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8F3A66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</w:rPr>
      </w:pPr>
      <w:r w:rsidRPr="008F3A66">
        <w:rPr>
          <w:rFonts w:ascii="Tahoma" w:hAnsi="Tahoma" w:cs="Tahoma"/>
          <w:b/>
        </w:rPr>
        <w:t>odbor finanční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 xml:space="preserve">Návrh usnesení </w:t>
      </w:r>
      <w:r w:rsidR="008F3A66">
        <w:rPr>
          <w:rFonts w:ascii="Tahoma" w:hAnsi="Tahoma" w:cs="Tahoma"/>
          <w:b/>
          <w:bCs/>
        </w:rPr>
        <w:t>Z</w:t>
      </w:r>
      <w:r w:rsidRPr="00C71030">
        <w:rPr>
          <w:rFonts w:ascii="Tahoma" w:hAnsi="Tahoma" w:cs="Tahoma"/>
          <w:b/>
          <w:bCs/>
        </w:rPr>
        <w:t>M</w:t>
      </w:r>
    </w:p>
    <w:p w:rsidR="005929AC" w:rsidRDefault="005929A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5929AC" w:rsidRDefault="005929A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A52928" w:rsidRPr="00022A75" w:rsidRDefault="00A52928" w:rsidP="00A52928">
      <w:pPr>
        <w:numPr>
          <w:ilvl w:val="0"/>
          <w:numId w:val="32"/>
        </w:numPr>
        <w:rPr>
          <w:rFonts w:ascii="Tahoma" w:hAnsi="Tahoma" w:cs="Tahoma"/>
          <w:b/>
          <w:u w:val="single"/>
        </w:rPr>
      </w:pPr>
      <w:r w:rsidRPr="00022A75">
        <w:rPr>
          <w:rFonts w:ascii="Tahoma" w:hAnsi="Tahoma" w:cs="Tahoma"/>
          <w:b/>
          <w:u w:val="single"/>
        </w:rPr>
        <w:t>Rozpočtová opatření č. 7</w:t>
      </w:r>
      <w:r w:rsidR="005E4ACF" w:rsidRPr="00022A75">
        <w:rPr>
          <w:rFonts w:ascii="Tahoma" w:hAnsi="Tahoma" w:cs="Tahoma"/>
          <w:b/>
          <w:u w:val="single"/>
        </w:rPr>
        <w:t>9</w:t>
      </w:r>
      <w:r w:rsidRPr="00022A75">
        <w:rPr>
          <w:rFonts w:ascii="Tahoma" w:hAnsi="Tahoma" w:cs="Tahoma"/>
          <w:b/>
          <w:u w:val="single"/>
        </w:rPr>
        <w:t xml:space="preserve"> – </w:t>
      </w:r>
      <w:r w:rsidR="005E4ACF" w:rsidRPr="00022A75">
        <w:rPr>
          <w:rFonts w:ascii="Tahoma" w:hAnsi="Tahoma" w:cs="Tahoma"/>
          <w:b/>
          <w:u w:val="single"/>
        </w:rPr>
        <w:t>83</w:t>
      </w:r>
    </w:p>
    <w:p w:rsidR="00A52928" w:rsidRPr="00022A75" w:rsidRDefault="00A52928" w:rsidP="00A52928">
      <w:pPr>
        <w:numPr>
          <w:ilvl w:val="0"/>
          <w:numId w:val="32"/>
        </w:numPr>
        <w:rPr>
          <w:rFonts w:ascii="Tahoma" w:hAnsi="Tahoma" w:cs="Tahoma"/>
          <w:b/>
          <w:u w:val="single"/>
        </w:rPr>
      </w:pPr>
      <w:r w:rsidRPr="00022A75">
        <w:rPr>
          <w:rFonts w:ascii="Tahoma" w:hAnsi="Tahoma" w:cs="Tahoma"/>
          <w:b/>
          <w:u w:val="single"/>
        </w:rPr>
        <w:t>Zubní lékařka</w:t>
      </w:r>
      <w:r w:rsidR="003512B1">
        <w:rPr>
          <w:rFonts w:ascii="Tahoma" w:hAnsi="Tahoma" w:cs="Tahoma"/>
          <w:b/>
          <w:u w:val="single"/>
        </w:rPr>
        <w:t xml:space="preserve"> </w:t>
      </w:r>
      <w:r w:rsidRPr="00022A75">
        <w:rPr>
          <w:rFonts w:ascii="Tahoma" w:hAnsi="Tahoma" w:cs="Tahoma"/>
          <w:b/>
          <w:u w:val="single"/>
        </w:rPr>
        <w:t>– poskytnutí dotace na vybavení zubní ordinace, rozpočtové opatření č. 8</w:t>
      </w:r>
      <w:r w:rsidR="005E4ACF" w:rsidRPr="00022A75">
        <w:rPr>
          <w:rFonts w:ascii="Tahoma" w:hAnsi="Tahoma" w:cs="Tahoma"/>
          <w:b/>
          <w:u w:val="single"/>
        </w:rPr>
        <w:t>4</w:t>
      </w:r>
    </w:p>
    <w:p w:rsidR="00A52928" w:rsidRPr="00022A75" w:rsidRDefault="00A52928" w:rsidP="00A52928">
      <w:pPr>
        <w:numPr>
          <w:ilvl w:val="0"/>
          <w:numId w:val="32"/>
        </w:numPr>
        <w:rPr>
          <w:rFonts w:ascii="Tahoma" w:hAnsi="Tahoma" w:cs="Tahoma"/>
          <w:b/>
          <w:u w:val="single"/>
        </w:rPr>
      </w:pPr>
      <w:r w:rsidRPr="00022A75">
        <w:rPr>
          <w:rFonts w:ascii="Tahoma" w:hAnsi="Tahoma" w:cs="Tahoma"/>
          <w:b/>
          <w:u w:val="single"/>
        </w:rPr>
        <w:t xml:space="preserve">Kontrolní výbor – Zápis č. 4 ze dne </w:t>
      </w:r>
      <w:proofErr w:type="gramStart"/>
      <w:r w:rsidRPr="00022A75">
        <w:rPr>
          <w:rFonts w:ascii="Tahoma" w:hAnsi="Tahoma" w:cs="Tahoma"/>
          <w:b/>
          <w:u w:val="single"/>
        </w:rPr>
        <w:t>05.09.2024</w:t>
      </w:r>
      <w:proofErr w:type="gramEnd"/>
    </w:p>
    <w:p w:rsidR="004C4CBE" w:rsidRPr="00826AF2" w:rsidRDefault="004C4CBE" w:rsidP="004C4CB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57DFF" w:rsidRPr="00C71030" w:rsidRDefault="00257DF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3A66" w:rsidRDefault="008F3A66" w:rsidP="008F3A66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zastupitelstvu </w:t>
      </w:r>
      <w:r w:rsidRPr="00BC3E8C">
        <w:rPr>
          <w:rFonts w:ascii="Tahoma" w:hAnsi="Tahoma" w:cs="Tahoma"/>
          <w:sz w:val="20"/>
          <w:szCs w:val="20"/>
        </w:rPr>
        <w:t xml:space="preserve">města dne </w:t>
      </w:r>
      <w:proofErr w:type="gramStart"/>
      <w:r w:rsidR="00A52928">
        <w:rPr>
          <w:rFonts w:ascii="Tahoma" w:hAnsi="Tahoma" w:cs="Tahoma"/>
          <w:sz w:val="20"/>
          <w:szCs w:val="20"/>
        </w:rPr>
        <w:t>06</w:t>
      </w:r>
      <w:r w:rsidRPr="00BC3E8C">
        <w:rPr>
          <w:rFonts w:ascii="Tahoma" w:hAnsi="Tahoma" w:cs="Tahoma"/>
          <w:sz w:val="20"/>
          <w:szCs w:val="20"/>
        </w:rPr>
        <w:t>.</w:t>
      </w:r>
      <w:r w:rsidR="00A52928">
        <w:rPr>
          <w:rFonts w:ascii="Tahoma" w:hAnsi="Tahoma" w:cs="Tahoma"/>
          <w:sz w:val="20"/>
          <w:szCs w:val="20"/>
        </w:rPr>
        <w:t>11</w:t>
      </w:r>
      <w:r w:rsidRPr="00BC3E8C">
        <w:rPr>
          <w:rFonts w:ascii="Tahoma" w:hAnsi="Tahoma" w:cs="Tahoma"/>
          <w:sz w:val="20"/>
          <w:szCs w:val="20"/>
        </w:rPr>
        <w:t>.2024</w:t>
      </w:r>
      <w:proofErr w:type="gramEnd"/>
    </w:p>
    <w:p w:rsidR="008077E5" w:rsidRPr="00A7737C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E6B86" w:rsidRPr="00C71030" w:rsidRDefault="005E6B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F55E8" w:rsidRPr="00C71030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865" w:rsidRPr="00C71030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3A66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A7737C">
        <w:rPr>
          <w:rFonts w:ascii="Tahoma" w:hAnsi="Tahoma" w:cs="Tahoma"/>
          <w:b/>
          <w:bCs/>
          <w:sz w:val="20"/>
          <w:szCs w:val="20"/>
        </w:rPr>
        <w:t>Předkládá:</w:t>
      </w:r>
    </w:p>
    <w:p w:rsidR="008F3A66" w:rsidRDefault="009F1A4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 w:rsidRPr="009F1A4B">
        <w:rPr>
          <w:rFonts w:ascii="Tahoma" w:hAnsi="Tahoma" w:cs="Tahoma"/>
          <w:bCs/>
          <w:sz w:val="20"/>
          <w:szCs w:val="20"/>
        </w:rPr>
        <w:t>Ing. Jitka Šochmanová, vedoucí odboru</w:t>
      </w:r>
    </w:p>
    <w:p w:rsidR="004C4CBE" w:rsidRDefault="005E4AC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MUDr. Martin Gregora, předseda kontrolního výboru</w:t>
      </w:r>
    </w:p>
    <w:p w:rsidR="005E4ACF" w:rsidRDefault="005E4AC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4C4CBE" w:rsidRDefault="004C4C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4C4CBE" w:rsidRDefault="004C4C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5D52F1" w:rsidRDefault="005D52F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5D52F1" w:rsidRDefault="005D52F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5D52F1" w:rsidRDefault="005D52F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5D52F1" w:rsidRDefault="005D52F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5D52F1" w:rsidRDefault="005D52F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5D52F1" w:rsidRDefault="005D52F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5D52F1" w:rsidRDefault="005D52F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5E4ACF" w:rsidRDefault="005E4AC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5D52F1" w:rsidRDefault="005D52F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5D52F1" w:rsidRDefault="005D52F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4C4CBE" w:rsidRDefault="004C4CB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BC3E8C" w:rsidRDefault="00BC3E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C3E8C" w:rsidRDefault="00BC3E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C0E89" w:rsidRPr="00B60589" w:rsidRDefault="00CC0E89" w:rsidP="004D43B6">
      <w:pPr>
        <w:pStyle w:val="Nadpis2"/>
        <w:rPr>
          <w:rFonts w:ascii="Tahoma" w:hAnsi="Tahoma" w:cs="Tahoma"/>
          <w:sz w:val="24"/>
        </w:rPr>
      </w:pPr>
      <w:r w:rsidRPr="00B60589">
        <w:rPr>
          <w:rFonts w:ascii="Tahoma" w:hAnsi="Tahoma" w:cs="Tahoma"/>
          <w:sz w:val="24"/>
        </w:rPr>
        <w:lastRenderedPageBreak/>
        <w:t xml:space="preserve">Rozpočtová opatření č. </w:t>
      </w:r>
      <w:r w:rsidR="005E4ACF" w:rsidRPr="00B60589">
        <w:rPr>
          <w:rFonts w:ascii="Tahoma" w:hAnsi="Tahoma" w:cs="Tahoma"/>
          <w:sz w:val="24"/>
        </w:rPr>
        <w:t>79</w:t>
      </w:r>
      <w:r w:rsidRPr="00B60589">
        <w:rPr>
          <w:rFonts w:ascii="Tahoma" w:hAnsi="Tahoma" w:cs="Tahoma"/>
          <w:sz w:val="24"/>
        </w:rPr>
        <w:t xml:space="preserve"> – </w:t>
      </w:r>
      <w:r w:rsidR="005E4ACF" w:rsidRPr="00B60589">
        <w:rPr>
          <w:rFonts w:ascii="Tahoma" w:hAnsi="Tahoma" w:cs="Tahoma"/>
          <w:sz w:val="24"/>
        </w:rPr>
        <w:t>8</w:t>
      </w:r>
      <w:r w:rsidR="003B178A" w:rsidRPr="00B60589">
        <w:rPr>
          <w:rFonts w:ascii="Tahoma" w:hAnsi="Tahoma" w:cs="Tahoma"/>
          <w:sz w:val="24"/>
        </w:rPr>
        <w:t>3</w:t>
      </w:r>
    </w:p>
    <w:p w:rsidR="00CC0E89" w:rsidRPr="001920C0" w:rsidRDefault="00CC0E89" w:rsidP="00CC0E89">
      <w:pPr>
        <w:rPr>
          <w:rFonts w:ascii="Tahoma" w:hAnsi="Tahoma" w:cs="Tahoma"/>
        </w:rPr>
      </w:pPr>
    </w:p>
    <w:p w:rsidR="00CC0E89" w:rsidRPr="00C1424B" w:rsidRDefault="00CC0E89" w:rsidP="00CC0E89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C1424B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CC0E89" w:rsidRPr="00C1424B" w:rsidRDefault="00CC0E89" w:rsidP="00CC0E8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Zastupitelstvo</w:t>
      </w:r>
      <w:r w:rsidRPr="00C1424B">
        <w:rPr>
          <w:rFonts w:ascii="Tahoma" w:hAnsi="Tahoma" w:cs="Tahoma"/>
          <w:sz w:val="20"/>
          <w:szCs w:val="20"/>
        </w:rPr>
        <w:t xml:space="preserve"> města po projednání</w:t>
      </w:r>
    </w:p>
    <w:p w:rsidR="00CC0E89" w:rsidRPr="00C1424B" w:rsidRDefault="00CC0E89" w:rsidP="00CC0E89">
      <w:pPr>
        <w:rPr>
          <w:rFonts w:ascii="Tahoma" w:hAnsi="Tahoma" w:cs="Tahoma"/>
          <w:sz w:val="20"/>
          <w:szCs w:val="20"/>
        </w:rPr>
      </w:pPr>
    </w:p>
    <w:p w:rsidR="00CC0E89" w:rsidRDefault="00CC0E89" w:rsidP="00CC0E89">
      <w:pPr>
        <w:pStyle w:val="Nadpis3"/>
        <w:rPr>
          <w:sz w:val="20"/>
          <w:szCs w:val="20"/>
        </w:rPr>
      </w:pPr>
      <w:r w:rsidRPr="00C1424B">
        <w:rPr>
          <w:sz w:val="20"/>
          <w:szCs w:val="20"/>
        </w:rPr>
        <w:t>I.</w:t>
      </w:r>
      <w:r>
        <w:rPr>
          <w:sz w:val="20"/>
          <w:szCs w:val="20"/>
        </w:rPr>
        <w:t xml:space="preserve"> Schvaluje</w:t>
      </w:r>
      <w:r w:rsidRPr="00C1424B">
        <w:rPr>
          <w:sz w:val="20"/>
          <w:szCs w:val="20"/>
        </w:rPr>
        <w:t xml:space="preserve">  </w:t>
      </w:r>
    </w:p>
    <w:p w:rsidR="005E4ACF" w:rsidRPr="00C1424B" w:rsidRDefault="005E4ACF" w:rsidP="005E4ACF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79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25.000.</w:t>
      </w:r>
      <w:r w:rsidRPr="00C1424B">
        <w:rPr>
          <w:rFonts w:ascii="Tahoma" w:hAnsi="Tahoma" w:cs="Tahoma"/>
          <w:sz w:val="20"/>
          <w:szCs w:val="20"/>
        </w:rPr>
        <w:t>000,00 Kč</w:t>
      </w:r>
    </w:p>
    <w:p w:rsidR="005E4ACF" w:rsidRPr="00C1424B" w:rsidRDefault="005E4ACF" w:rsidP="005E4ACF">
      <w:pPr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rozpočtu majetkového odboru na realizaci akce „1/4 Strakonice – Volyňská“, a to z důvodu zásadního zrychlení výstavby. V roce 2024 bude dokončena kanalizace, vodovod, veřejné osvětlení a světelné signalizační zařízení. Do </w:t>
      </w:r>
      <w:proofErr w:type="gramStart"/>
      <w:r>
        <w:rPr>
          <w:rFonts w:ascii="Tahoma" w:hAnsi="Tahoma" w:cs="Tahoma"/>
          <w:sz w:val="20"/>
          <w:szCs w:val="20"/>
        </w:rPr>
        <w:t>31.10.2024</w:t>
      </w:r>
      <w:proofErr w:type="gramEnd"/>
      <w:r>
        <w:rPr>
          <w:rFonts w:ascii="Tahoma" w:hAnsi="Tahoma" w:cs="Tahoma"/>
          <w:sz w:val="20"/>
          <w:szCs w:val="20"/>
        </w:rPr>
        <w:t xml:space="preserve"> zhotovitel předpokládá úplné dokončení a zprůjezdnění celé ulice Volyňská a všech návazných komunikací a chodníků, s provizorní úpravou vozovky asfaltobetonem a chodníku kamenivem. Původně předpokládaný termín dokončení byl </w:t>
      </w:r>
      <w:proofErr w:type="gramStart"/>
      <w:r>
        <w:rPr>
          <w:rFonts w:ascii="Tahoma" w:hAnsi="Tahoma" w:cs="Tahoma"/>
          <w:sz w:val="20"/>
          <w:szCs w:val="20"/>
        </w:rPr>
        <w:t>31.12.2024</w:t>
      </w:r>
      <w:proofErr w:type="gramEnd"/>
      <w:r>
        <w:rPr>
          <w:rFonts w:ascii="Tahoma" w:hAnsi="Tahoma" w:cs="Tahoma"/>
          <w:sz w:val="20"/>
          <w:szCs w:val="20"/>
        </w:rPr>
        <w:t>. O prostředky navýšené v roce 2024 se sníží rozpočet na rok 2025. Rozpočtové opatření bude kryto daňovými příjmy města (zejména výnos z daně z přidané hodnoty a z daně z příjmů fyzických osob ze závislé činnosti).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276"/>
        <w:gridCol w:w="2126"/>
      </w:tblGrid>
      <w:tr w:rsidR="005E4ACF" w:rsidRPr="00C1424B" w:rsidTr="004B220D">
        <w:tc>
          <w:tcPr>
            <w:tcW w:w="1985" w:type="dxa"/>
          </w:tcPr>
          <w:p w:rsidR="005E4ACF" w:rsidRPr="00C1424B" w:rsidRDefault="005E4ACF" w:rsidP="004B220D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:rsidR="005E4ACF" w:rsidRPr="00C1424B" w:rsidRDefault="005E4ACF" w:rsidP="004B220D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5E4ACF" w:rsidRPr="00C1424B" w:rsidRDefault="005E4ACF" w:rsidP="004B220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746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5E4ACF" w:rsidRPr="00C1424B" w:rsidTr="004B220D">
        <w:tc>
          <w:tcPr>
            <w:tcW w:w="1985" w:type="dxa"/>
          </w:tcPr>
          <w:p w:rsidR="005E4ACF" w:rsidRPr="00C1424B" w:rsidRDefault="005E4ACF" w:rsidP="004B220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4ACF" w:rsidRPr="00C1424B" w:rsidRDefault="005E4ACF" w:rsidP="004B220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5E4ACF" w:rsidRPr="00C1424B" w:rsidRDefault="005E4ACF" w:rsidP="004B220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0000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1xxx</w:t>
            </w:r>
          </w:p>
        </w:tc>
      </w:tr>
    </w:tbl>
    <w:p w:rsidR="005E4ACF" w:rsidRDefault="005E4ACF" w:rsidP="005E4ACF">
      <w:pPr>
        <w:pStyle w:val="Zkladntext2"/>
        <w:rPr>
          <w:rFonts w:ascii="Tahoma" w:hAnsi="Tahoma" w:cs="Tahoma"/>
          <w:sz w:val="20"/>
          <w:szCs w:val="20"/>
        </w:rPr>
      </w:pPr>
    </w:p>
    <w:p w:rsidR="005E4ACF" w:rsidRPr="00AC0677" w:rsidRDefault="005E4ACF" w:rsidP="005E4ACF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80</w:t>
      </w:r>
      <w:r w:rsidRPr="00AC0677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7.800</w:t>
      </w:r>
      <w:r w:rsidRPr="00AC0677">
        <w:rPr>
          <w:rFonts w:ascii="Tahoma" w:hAnsi="Tahoma" w:cs="Tahoma"/>
          <w:sz w:val="20"/>
          <w:szCs w:val="20"/>
        </w:rPr>
        <w:t>.000,00 Kč</w:t>
      </w:r>
    </w:p>
    <w:p w:rsidR="005E4ACF" w:rsidRPr="00CB23EF" w:rsidRDefault="005E4ACF" w:rsidP="005E4ACF">
      <w:pPr>
        <w:jc w:val="both"/>
        <w:rPr>
          <w:rFonts w:ascii="Tahoma" w:hAnsi="Tahoma" w:cs="Tahoma"/>
          <w:sz w:val="20"/>
          <w:szCs w:val="20"/>
        </w:rPr>
      </w:pPr>
      <w:r w:rsidRPr="00CB23EF">
        <w:rPr>
          <w:rFonts w:ascii="Tahoma" w:hAnsi="Tahoma" w:cs="Tahoma"/>
          <w:sz w:val="20"/>
          <w:szCs w:val="20"/>
        </w:rPr>
        <w:t>Navýšení rozpočtu</w:t>
      </w:r>
      <w:r>
        <w:rPr>
          <w:rFonts w:ascii="Tahoma" w:hAnsi="Tahoma" w:cs="Tahoma"/>
          <w:sz w:val="20"/>
          <w:szCs w:val="20"/>
        </w:rPr>
        <w:t xml:space="preserve"> výdajů</w:t>
      </w:r>
      <w:r w:rsidRPr="00CB23EF">
        <w:rPr>
          <w:rFonts w:ascii="Tahoma" w:hAnsi="Tahoma" w:cs="Tahoma"/>
          <w:sz w:val="20"/>
          <w:szCs w:val="20"/>
        </w:rPr>
        <w:t xml:space="preserve"> na </w:t>
      </w:r>
      <w:r>
        <w:rPr>
          <w:rFonts w:ascii="Tahoma" w:hAnsi="Tahoma" w:cs="Tahoma"/>
          <w:sz w:val="20"/>
          <w:szCs w:val="20"/>
        </w:rPr>
        <w:t xml:space="preserve">služby související s údržbou města zajišťované Technickými službami Strakonice s.r.o.: </w:t>
      </w:r>
    </w:p>
    <w:p w:rsidR="005E4ACF" w:rsidRDefault="005E4ACF" w:rsidP="005E4ACF">
      <w:pPr>
        <w:pStyle w:val="Odstavecseseznamem"/>
        <w:numPr>
          <w:ilvl w:val="0"/>
          <w:numId w:val="33"/>
        </w:num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800</w:t>
      </w:r>
      <w:r w:rsidRPr="00CB23EF">
        <w:rPr>
          <w:rFonts w:ascii="Tahoma" w:hAnsi="Tahoma" w:cs="Tahoma"/>
          <w:sz w:val="20"/>
          <w:szCs w:val="20"/>
        </w:rPr>
        <w:t xml:space="preserve">.000 Kč </w:t>
      </w:r>
      <w:r>
        <w:rPr>
          <w:rFonts w:ascii="Tahoma" w:hAnsi="Tahoma" w:cs="Tahoma"/>
          <w:sz w:val="20"/>
          <w:szCs w:val="20"/>
        </w:rPr>
        <w:t>(původní rozpočet 13.600.000 Kč, navýšení na 14.400.000 Kč) – navýšení z důvodu zvýšených výdajů za údržbu a drobné opravy komunikací včetně zimní údržby</w:t>
      </w:r>
    </w:p>
    <w:p w:rsidR="005E4ACF" w:rsidRPr="00CB23EF" w:rsidRDefault="005E4ACF" w:rsidP="005E4ACF">
      <w:pPr>
        <w:pStyle w:val="Odstavecseseznamem"/>
        <w:numPr>
          <w:ilvl w:val="0"/>
          <w:numId w:val="33"/>
        </w:numPr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1.400.000 Kč (původní rozpočet 8.500.000 Kč, navýšení na 9.900.000 Kč) </w:t>
      </w:r>
      <w:r w:rsidRPr="00CB23EF">
        <w:rPr>
          <w:rFonts w:ascii="Tahoma" w:hAnsi="Tahoma" w:cs="Tahoma"/>
          <w:sz w:val="20"/>
          <w:szCs w:val="20"/>
        </w:rPr>
        <w:t xml:space="preserve">– </w:t>
      </w:r>
      <w:r>
        <w:rPr>
          <w:rFonts w:ascii="Tahoma" w:hAnsi="Tahoma" w:cs="Tahoma"/>
          <w:sz w:val="20"/>
          <w:szCs w:val="20"/>
        </w:rPr>
        <w:t>navýšení z důvodu zvýšené ceny a spotřeby elektrické energie oproti předpokladu a zvýšené výdaje na běžnou údržbu a opravy veřejného osvětlení</w:t>
      </w:r>
    </w:p>
    <w:p w:rsidR="005E4ACF" w:rsidRDefault="005E4ACF" w:rsidP="005E4ACF">
      <w:pPr>
        <w:pStyle w:val="Odstavecseseznamem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2.2</w:t>
      </w:r>
      <w:r w:rsidRPr="00CB23EF">
        <w:rPr>
          <w:rFonts w:ascii="Tahoma" w:hAnsi="Tahoma" w:cs="Tahoma"/>
          <w:sz w:val="20"/>
          <w:szCs w:val="20"/>
        </w:rPr>
        <w:t xml:space="preserve">00.000,00 Kč </w:t>
      </w:r>
      <w:r>
        <w:rPr>
          <w:rFonts w:ascii="Tahoma" w:hAnsi="Tahoma" w:cs="Tahoma"/>
          <w:sz w:val="20"/>
          <w:szCs w:val="20"/>
        </w:rPr>
        <w:t xml:space="preserve">(původní rozpočet 17.000.000 Kč, navýšení na 19.200.000 Kč) </w:t>
      </w:r>
      <w:r w:rsidRPr="00CB23EF">
        <w:rPr>
          <w:rFonts w:ascii="Tahoma" w:hAnsi="Tahoma" w:cs="Tahoma"/>
          <w:sz w:val="20"/>
          <w:szCs w:val="20"/>
        </w:rPr>
        <w:t xml:space="preserve">– údržba </w:t>
      </w:r>
      <w:r>
        <w:rPr>
          <w:rFonts w:ascii="Tahoma" w:hAnsi="Tahoma" w:cs="Tahoma"/>
          <w:sz w:val="20"/>
          <w:szCs w:val="20"/>
        </w:rPr>
        <w:t>zeleně – navýšení z důvodu zvýšeného počtu sečí v jarních měsících, nové výsadby stromů, jejich údržby a zvýšených nákladů na zalévání v letních měsících</w:t>
      </w:r>
    </w:p>
    <w:p w:rsidR="005E4ACF" w:rsidRDefault="005E4ACF" w:rsidP="00A60684">
      <w:pPr>
        <w:pStyle w:val="Odstavecseseznamem"/>
        <w:numPr>
          <w:ilvl w:val="0"/>
          <w:numId w:val="33"/>
        </w:numPr>
        <w:spacing w:after="60" w:line="24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3.4</w:t>
      </w:r>
      <w:r w:rsidRPr="00CB23EF">
        <w:rPr>
          <w:rFonts w:ascii="Tahoma" w:hAnsi="Tahoma" w:cs="Tahoma"/>
          <w:sz w:val="20"/>
          <w:szCs w:val="20"/>
        </w:rPr>
        <w:t xml:space="preserve">00.000,00 Kč </w:t>
      </w:r>
      <w:r>
        <w:rPr>
          <w:rFonts w:ascii="Tahoma" w:hAnsi="Tahoma" w:cs="Tahoma"/>
          <w:sz w:val="20"/>
          <w:szCs w:val="20"/>
        </w:rPr>
        <w:t xml:space="preserve">(původní rozpočet 15.800.000 Kč, navýšení na 19.200.000 Kč) </w:t>
      </w:r>
      <w:r w:rsidRPr="00CB23EF">
        <w:rPr>
          <w:rFonts w:ascii="Tahoma" w:hAnsi="Tahoma" w:cs="Tahoma"/>
          <w:sz w:val="20"/>
          <w:szCs w:val="20"/>
        </w:rPr>
        <w:t xml:space="preserve">– </w:t>
      </w:r>
      <w:r>
        <w:rPr>
          <w:rFonts w:ascii="Tahoma" w:hAnsi="Tahoma" w:cs="Tahoma"/>
          <w:sz w:val="20"/>
          <w:szCs w:val="20"/>
        </w:rPr>
        <w:t>svoz domovního odpadu + bio odpadu – navýšení z důvodu zvýšené ceny za likvidaci odpadů a zrušené snížení sazby DPH u likvidace odpadů, faktury za svoz odpadu z listopadu 2023 byly hrazeny z rozpočtu r. 2024</w:t>
      </w:r>
    </w:p>
    <w:p w:rsidR="005E4ACF" w:rsidRDefault="005E4ACF" w:rsidP="005E4ACF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CB23EF">
        <w:rPr>
          <w:rFonts w:ascii="Tahoma" w:hAnsi="Tahoma" w:cs="Tahoma"/>
          <w:sz w:val="20"/>
          <w:szCs w:val="20"/>
        </w:rPr>
        <w:t xml:space="preserve">Rozpočtové opatření bude kryto </w:t>
      </w:r>
      <w:r>
        <w:rPr>
          <w:rFonts w:ascii="Tahoma" w:hAnsi="Tahoma" w:cs="Tahoma"/>
          <w:sz w:val="20"/>
          <w:szCs w:val="20"/>
        </w:rPr>
        <w:t>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2126"/>
      </w:tblGrid>
      <w:tr w:rsidR="005E4ACF" w:rsidRPr="00CB23EF" w:rsidTr="004B220D">
        <w:tc>
          <w:tcPr>
            <w:tcW w:w="1985" w:type="dxa"/>
          </w:tcPr>
          <w:p w:rsidR="005E4ACF" w:rsidRPr="00CB23EF" w:rsidRDefault="005E4ACF" w:rsidP="004B220D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CB23EF">
              <w:rPr>
                <w:rFonts w:ascii="Tahoma" w:hAnsi="Tahoma" w:cs="Tahoma"/>
                <w:sz w:val="20"/>
                <w:szCs w:val="20"/>
              </w:rPr>
              <w:t>Rozpočtová skladba:</w:t>
            </w:r>
          </w:p>
        </w:tc>
        <w:tc>
          <w:tcPr>
            <w:tcW w:w="1276" w:type="dxa"/>
          </w:tcPr>
          <w:p w:rsidR="005E4ACF" w:rsidRPr="00CB23EF" w:rsidRDefault="005E4ACF" w:rsidP="004B220D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B23EF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5E4ACF" w:rsidRPr="00CB23EF" w:rsidRDefault="005E4ACF" w:rsidP="004B220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B23EF">
              <w:rPr>
                <w:rFonts w:ascii="Tahoma" w:hAnsi="Tahoma" w:cs="Tahoma"/>
                <w:sz w:val="20"/>
                <w:szCs w:val="20"/>
              </w:rPr>
              <w:t xml:space="preserve">   1069 - </w:t>
            </w:r>
            <w:proofErr w:type="spellStart"/>
            <w:r w:rsidRPr="00CB23EF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CB23EF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Pr="00CB23EF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5E4ACF" w:rsidRPr="00CB23EF" w:rsidTr="004B220D">
        <w:tc>
          <w:tcPr>
            <w:tcW w:w="1985" w:type="dxa"/>
          </w:tcPr>
          <w:p w:rsidR="005E4ACF" w:rsidRPr="00CB23EF" w:rsidRDefault="005E4ACF" w:rsidP="004B220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4ACF" w:rsidRPr="00CB23EF" w:rsidRDefault="005E4ACF" w:rsidP="004B220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26" w:type="dxa"/>
          </w:tcPr>
          <w:p w:rsidR="005E4ACF" w:rsidRPr="00CB23EF" w:rsidRDefault="005E4ACF" w:rsidP="004B220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:rsidR="005E4ACF" w:rsidRDefault="005E4ACF" w:rsidP="005E4ACF">
      <w:pPr>
        <w:pStyle w:val="Zkladntext2"/>
        <w:rPr>
          <w:rFonts w:ascii="Tahoma" w:hAnsi="Tahoma" w:cs="Tahoma"/>
          <w:sz w:val="20"/>
          <w:szCs w:val="20"/>
        </w:rPr>
      </w:pPr>
    </w:p>
    <w:p w:rsidR="005E4ACF" w:rsidRPr="00AC0677" w:rsidRDefault="005E4ACF" w:rsidP="005E4ACF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81</w:t>
      </w:r>
      <w:r w:rsidRPr="00AC0677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900</w:t>
      </w:r>
      <w:r w:rsidRPr="00AC0677">
        <w:rPr>
          <w:rFonts w:ascii="Tahoma" w:hAnsi="Tahoma" w:cs="Tahoma"/>
          <w:sz w:val="20"/>
          <w:szCs w:val="20"/>
        </w:rPr>
        <w:t>.000,00 Kč</w:t>
      </w:r>
    </w:p>
    <w:p w:rsidR="005E4ACF" w:rsidRDefault="005E4ACF" w:rsidP="005E4AC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rozpočtu majetkového odboru na úhradu energií (elektrická energie, teplo, voda) v roce 2024. K navýšení dochází z důvodu změny v účtování přeplatků za energie, které se dle nové metodiky zařazují do příjmů. Rozpočtové opatření bude kryto příjmy z přeplatků za energie a služby.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2126"/>
      </w:tblGrid>
      <w:tr w:rsidR="005E4ACF" w:rsidRPr="00CB23EF" w:rsidTr="004B220D">
        <w:tc>
          <w:tcPr>
            <w:tcW w:w="1985" w:type="dxa"/>
          </w:tcPr>
          <w:p w:rsidR="005E4ACF" w:rsidRPr="00CB23EF" w:rsidRDefault="005E4ACF" w:rsidP="004B220D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CB23EF">
              <w:rPr>
                <w:rFonts w:ascii="Tahoma" w:hAnsi="Tahoma" w:cs="Tahoma"/>
                <w:sz w:val="20"/>
                <w:szCs w:val="20"/>
              </w:rPr>
              <w:t>Rozpočtová skladba:</w:t>
            </w:r>
          </w:p>
        </w:tc>
        <w:tc>
          <w:tcPr>
            <w:tcW w:w="1276" w:type="dxa"/>
          </w:tcPr>
          <w:p w:rsidR="005E4ACF" w:rsidRPr="00CB23EF" w:rsidRDefault="005E4ACF" w:rsidP="004B220D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B23EF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5E4ACF" w:rsidRPr="00CB23EF" w:rsidRDefault="005E4ACF" w:rsidP="004B220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B23EF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>
              <w:rPr>
                <w:rFonts w:ascii="Tahoma" w:hAnsi="Tahoma" w:cs="Tahoma"/>
                <w:sz w:val="20"/>
                <w:szCs w:val="20"/>
              </w:rPr>
              <w:t xml:space="preserve">791 </w:t>
            </w:r>
            <w:r w:rsidRPr="00CB23EF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Pr="00CB23EF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CB23E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CB23E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515x</w:t>
            </w:r>
          </w:p>
        </w:tc>
      </w:tr>
      <w:tr w:rsidR="005E4ACF" w:rsidRPr="00CB23EF" w:rsidTr="004B220D">
        <w:tc>
          <w:tcPr>
            <w:tcW w:w="1985" w:type="dxa"/>
          </w:tcPr>
          <w:p w:rsidR="005E4ACF" w:rsidRPr="00CB23EF" w:rsidRDefault="005E4ACF" w:rsidP="004B220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4ACF" w:rsidRPr="00CB23EF" w:rsidRDefault="005E4ACF" w:rsidP="004B220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5E4ACF" w:rsidRPr="00CB23EF" w:rsidRDefault="005E4ACF" w:rsidP="004B220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B23EF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>
              <w:rPr>
                <w:rFonts w:ascii="Tahoma" w:hAnsi="Tahoma" w:cs="Tahoma"/>
                <w:sz w:val="20"/>
                <w:szCs w:val="20"/>
              </w:rPr>
              <w:t xml:space="preserve">79x </w:t>
            </w:r>
            <w:r w:rsidRPr="00CB23EF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Pr="00CB23EF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CB23E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CB23E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2xxx</w:t>
            </w:r>
          </w:p>
        </w:tc>
      </w:tr>
    </w:tbl>
    <w:p w:rsidR="005E4ACF" w:rsidRPr="004D43B6" w:rsidRDefault="005E4ACF" w:rsidP="004D43B6">
      <w:pPr>
        <w:pStyle w:val="Zkladntext2"/>
        <w:rPr>
          <w:rFonts w:ascii="Tahoma" w:hAnsi="Tahoma" w:cs="Tahoma"/>
          <w:sz w:val="20"/>
          <w:szCs w:val="20"/>
        </w:rPr>
      </w:pPr>
    </w:p>
    <w:p w:rsidR="005E4ACF" w:rsidRPr="0046215D" w:rsidRDefault="005E4ACF" w:rsidP="005E4ACF">
      <w:pPr>
        <w:pStyle w:val="Zkladntext2"/>
        <w:rPr>
          <w:rFonts w:ascii="Tahoma" w:hAnsi="Tahoma" w:cs="Tahoma"/>
          <w:sz w:val="20"/>
          <w:szCs w:val="20"/>
        </w:rPr>
      </w:pPr>
      <w:r w:rsidRPr="0046215D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82</w:t>
      </w:r>
      <w:r w:rsidRPr="0046215D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6</w:t>
      </w:r>
      <w:r w:rsidRPr="0046215D">
        <w:rPr>
          <w:rFonts w:ascii="Tahoma" w:hAnsi="Tahoma" w:cs="Tahoma"/>
          <w:sz w:val="20"/>
          <w:szCs w:val="20"/>
        </w:rPr>
        <w:t>.000.000</w:t>
      </w:r>
      <w:r>
        <w:rPr>
          <w:rFonts w:ascii="Tahoma" w:hAnsi="Tahoma" w:cs="Tahoma"/>
          <w:sz w:val="20"/>
          <w:szCs w:val="20"/>
        </w:rPr>
        <w:t>,00</w:t>
      </w:r>
      <w:r w:rsidRPr="0046215D">
        <w:rPr>
          <w:rFonts w:ascii="Tahoma" w:hAnsi="Tahoma" w:cs="Tahoma"/>
          <w:sz w:val="20"/>
          <w:szCs w:val="20"/>
        </w:rPr>
        <w:t xml:space="preserve"> Kč</w:t>
      </w:r>
    </w:p>
    <w:p w:rsidR="005E4ACF" w:rsidRPr="0046215D" w:rsidRDefault="005E4ACF" w:rsidP="005E4AC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46215D">
        <w:rPr>
          <w:rFonts w:ascii="Tahoma" w:hAnsi="Tahoma" w:cs="Tahoma"/>
          <w:sz w:val="20"/>
          <w:szCs w:val="20"/>
        </w:rPr>
        <w:t>Navýšení rozpočtu výdajů</w:t>
      </w:r>
      <w:r>
        <w:rPr>
          <w:rFonts w:ascii="Tahoma" w:hAnsi="Tahoma" w:cs="Tahoma"/>
          <w:sz w:val="20"/>
          <w:szCs w:val="20"/>
        </w:rPr>
        <w:t xml:space="preserve"> města</w:t>
      </w:r>
      <w:r w:rsidRPr="0046215D">
        <w:rPr>
          <w:rFonts w:ascii="Tahoma" w:hAnsi="Tahoma" w:cs="Tahoma"/>
          <w:sz w:val="20"/>
          <w:szCs w:val="20"/>
        </w:rPr>
        <w:t xml:space="preserve"> na poskytnutí zápůjčky</w:t>
      </w:r>
      <w:r>
        <w:rPr>
          <w:rFonts w:ascii="Tahoma" w:hAnsi="Tahoma" w:cs="Tahoma"/>
          <w:sz w:val="20"/>
          <w:szCs w:val="20"/>
        </w:rPr>
        <w:t xml:space="preserve"> peněz</w:t>
      </w:r>
      <w:r w:rsidRPr="0046215D">
        <w:rPr>
          <w:rFonts w:ascii="Tahoma" w:hAnsi="Tahoma" w:cs="Tahoma"/>
          <w:sz w:val="20"/>
          <w:szCs w:val="20"/>
        </w:rPr>
        <w:t xml:space="preserve"> organizaci ZEVO Písek s.r.o. na činnosti související s projektovou přípravou projektu ZEVO Písek, tj. zahájení energetického využívání směsného komunálního odpadu. Rozpočtové opatření bude kryto </w:t>
      </w:r>
      <w:r>
        <w:rPr>
          <w:rFonts w:ascii="Tahoma" w:eastAsia="MS Mincho" w:hAnsi="Tahoma" w:cs="Tahoma"/>
          <w:sz w:val="20"/>
          <w:szCs w:val="20"/>
        </w:rPr>
        <w:t>použitím prostředků minulých.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5E4ACF" w:rsidRPr="0046215D" w:rsidTr="004B220D">
        <w:tc>
          <w:tcPr>
            <w:tcW w:w="2265" w:type="dxa"/>
          </w:tcPr>
          <w:p w:rsidR="005E4ACF" w:rsidRPr="0046215D" w:rsidRDefault="005E4ACF" w:rsidP="004B220D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6215D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5E4ACF" w:rsidRPr="0046215D" w:rsidRDefault="005E4ACF" w:rsidP="004B220D">
            <w:pPr>
              <w:rPr>
                <w:rFonts w:ascii="Tahoma" w:hAnsi="Tahoma" w:cs="Tahoma"/>
                <w:sz w:val="20"/>
                <w:szCs w:val="20"/>
              </w:rPr>
            </w:pPr>
            <w:r w:rsidRPr="0046215D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5E4ACF" w:rsidRPr="0046215D" w:rsidRDefault="005E4ACF" w:rsidP="004B220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600 - 3722</w:t>
            </w:r>
            <w:r w:rsidRPr="0046215D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6413</w:t>
            </w:r>
          </w:p>
        </w:tc>
      </w:tr>
      <w:tr w:rsidR="005E4ACF" w:rsidRPr="0046215D" w:rsidTr="004B220D">
        <w:trPr>
          <w:trHeight w:val="167"/>
        </w:trPr>
        <w:tc>
          <w:tcPr>
            <w:tcW w:w="2265" w:type="dxa"/>
          </w:tcPr>
          <w:p w:rsidR="005E4ACF" w:rsidRPr="0046215D" w:rsidRDefault="005E4ACF" w:rsidP="004B220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5E4ACF" w:rsidRPr="0046215D" w:rsidRDefault="005E4ACF" w:rsidP="004B220D">
            <w:pPr>
              <w:rPr>
                <w:rFonts w:ascii="Tahoma" w:hAnsi="Tahoma" w:cs="Tahoma"/>
                <w:sz w:val="20"/>
                <w:szCs w:val="20"/>
              </w:rPr>
            </w:pPr>
            <w:r w:rsidRPr="0046215D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  <w:vAlign w:val="center"/>
          </w:tcPr>
          <w:p w:rsidR="005E4ACF" w:rsidRPr="0046215D" w:rsidRDefault="005E4ACF" w:rsidP="004B220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6215D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:rsidR="005E4ACF" w:rsidRDefault="005E4ACF" w:rsidP="005E4ACF">
      <w:pPr>
        <w:pStyle w:val="Zkladntext2"/>
        <w:rPr>
          <w:rFonts w:ascii="Tahoma" w:hAnsi="Tahoma" w:cs="Tahoma"/>
          <w:sz w:val="20"/>
          <w:szCs w:val="20"/>
        </w:rPr>
      </w:pPr>
    </w:p>
    <w:p w:rsidR="005E4ACF" w:rsidRPr="00AC0677" w:rsidRDefault="005E4ACF" w:rsidP="005E4ACF">
      <w:pPr>
        <w:pStyle w:val="Zkladntext2"/>
        <w:rPr>
          <w:rFonts w:ascii="Tahoma" w:hAnsi="Tahoma" w:cs="Tahoma"/>
          <w:sz w:val="20"/>
          <w:szCs w:val="20"/>
        </w:rPr>
      </w:pPr>
      <w:r w:rsidRPr="001F3A4A">
        <w:rPr>
          <w:rFonts w:ascii="Tahoma" w:hAnsi="Tahoma" w:cs="Tahoma"/>
          <w:sz w:val="20"/>
          <w:szCs w:val="20"/>
        </w:rPr>
        <w:t>RO  č. 8</w:t>
      </w:r>
      <w:r>
        <w:rPr>
          <w:rFonts w:ascii="Tahoma" w:hAnsi="Tahoma" w:cs="Tahoma"/>
          <w:sz w:val="20"/>
          <w:szCs w:val="20"/>
        </w:rPr>
        <w:t>3</w:t>
      </w:r>
      <w:r w:rsidRPr="001F3A4A">
        <w:rPr>
          <w:rFonts w:ascii="Tahoma" w:hAnsi="Tahoma" w:cs="Tahoma"/>
          <w:sz w:val="20"/>
          <w:szCs w:val="20"/>
        </w:rPr>
        <w:t xml:space="preserve"> ve výši  3.</w:t>
      </w:r>
      <w:r>
        <w:rPr>
          <w:rFonts w:ascii="Tahoma" w:hAnsi="Tahoma" w:cs="Tahoma"/>
          <w:sz w:val="20"/>
          <w:szCs w:val="20"/>
        </w:rPr>
        <w:t>0</w:t>
      </w:r>
      <w:r w:rsidRPr="001F3A4A">
        <w:rPr>
          <w:rFonts w:ascii="Tahoma" w:hAnsi="Tahoma" w:cs="Tahoma"/>
          <w:sz w:val="20"/>
          <w:szCs w:val="20"/>
        </w:rPr>
        <w:t>00.000,00 Kč</w:t>
      </w:r>
    </w:p>
    <w:p w:rsidR="005E4ACF" w:rsidRPr="006805D7" w:rsidRDefault="006805D7" w:rsidP="005E4ACF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6805D7">
        <w:rPr>
          <w:rFonts w:ascii="Tahoma" w:hAnsi="Tahoma" w:cs="Tahoma"/>
          <w:sz w:val="20"/>
          <w:szCs w:val="20"/>
        </w:rPr>
        <w:t xml:space="preserve">Navýšení příspěvku na provoz s vyúčtováním příspěvkové organizaci STARZ Strakonice na úhradu elektrické energie, a to zejména z důvodu </w:t>
      </w:r>
      <w:r w:rsidRPr="006805D7">
        <w:rPr>
          <w:rFonts w:ascii="Tahoma" w:hAnsi="Tahoma" w:cs="Tahoma"/>
          <w:bCs/>
          <w:sz w:val="20"/>
          <w:szCs w:val="20"/>
        </w:rPr>
        <w:t xml:space="preserve">zvýšené ceny elektřiny pro rok 2024 oproti ceně předpokládané. </w:t>
      </w:r>
      <w:r w:rsidRPr="006805D7">
        <w:rPr>
          <w:rFonts w:ascii="Tahoma" w:hAnsi="Tahoma" w:cs="Tahoma"/>
          <w:sz w:val="20"/>
          <w:szCs w:val="20"/>
        </w:rPr>
        <w:t xml:space="preserve">Další příčinou nárůstu spotřeby jsou vysoké letní teploty, které vedly k větší spotřebě elektrické energie při zahájení sezóny zimního stadionu v měsíci červenci 2024. </w:t>
      </w:r>
      <w:r w:rsidR="005E4ACF" w:rsidRPr="006805D7">
        <w:rPr>
          <w:rFonts w:ascii="Tahoma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2126"/>
      </w:tblGrid>
      <w:tr w:rsidR="006805D7" w:rsidRPr="006805D7" w:rsidTr="004B220D">
        <w:tc>
          <w:tcPr>
            <w:tcW w:w="1985" w:type="dxa"/>
          </w:tcPr>
          <w:p w:rsidR="005E4ACF" w:rsidRPr="006805D7" w:rsidRDefault="005E4ACF" w:rsidP="004B220D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6805D7">
              <w:rPr>
                <w:rFonts w:ascii="Tahoma" w:hAnsi="Tahoma" w:cs="Tahoma"/>
                <w:sz w:val="20"/>
                <w:szCs w:val="20"/>
              </w:rPr>
              <w:t>Rozpočtová skladba:</w:t>
            </w:r>
          </w:p>
        </w:tc>
        <w:tc>
          <w:tcPr>
            <w:tcW w:w="1276" w:type="dxa"/>
          </w:tcPr>
          <w:p w:rsidR="005E4ACF" w:rsidRPr="006805D7" w:rsidRDefault="005E4ACF" w:rsidP="004B220D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6805D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5E4ACF" w:rsidRPr="006805D7" w:rsidRDefault="005E4ACF" w:rsidP="004B220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805D7">
              <w:rPr>
                <w:rFonts w:ascii="Tahoma" w:hAnsi="Tahoma" w:cs="Tahoma"/>
                <w:sz w:val="20"/>
                <w:szCs w:val="20"/>
              </w:rPr>
              <w:t xml:space="preserve">  1083 - 3412 - 5331</w:t>
            </w:r>
          </w:p>
        </w:tc>
      </w:tr>
      <w:tr w:rsidR="006805D7" w:rsidRPr="006805D7" w:rsidTr="004B220D">
        <w:tc>
          <w:tcPr>
            <w:tcW w:w="1985" w:type="dxa"/>
          </w:tcPr>
          <w:p w:rsidR="005E4ACF" w:rsidRPr="006805D7" w:rsidRDefault="005E4ACF" w:rsidP="004B220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E4ACF" w:rsidRPr="006805D7" w:rsidRDefault="005E4ACF" w:rsidP="004B220D">
            <w:pPr>
              <w:rPr>
                <w:rFonts w:ascii="Tahoma" w:hAnsi="Tahoma" w:cs="Tahoma"/>
                <w:sz w:val="20"/>
                <w:szCs w:val="20"/>
              </w:rPr>
            </w:pPr>
            <w:r w:rsidRPr="006805D7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26" w:type="dxa"/>
            <w:vAlign w:val="center"/>
          </w:tcPr>
          <w:p w:rsidR="005E4ACF" w:rsidRPr="006805D7" w:rsidRDefault="005E4ACF" w:rsidP="004B220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6805D7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:rsidR="00DD77A1" w:rsidRDefault="00DD77A1" w:rsidP="00DD77A1">
      <w:pPr>
        <w:tabs>
          <w:tab w:val="left" w:pos="93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257DFF" w:rsidRPr="006036EE" w:rsidRDefault="00EF173F" w:rsidP="00223F0F">
      <w:pPr>
        <w:pStyle w:val="Nadpis3"/>
        <w:rPr>
          <w:sz w:val="20"/>
          <w:szCs w:val="20"/>
        </w:rPr>
      </w:pPr>
      <w:r>
        <w:rPr>
          <w:sz w:val="20"/>
          <w:szCs w:val="20"/>
        </w:rPr>
        <w:t>II</w:t>
      </w:r>
      <w:r w:rsidR="00257DFF" w:rsidRPr="006036EE">
        <w:rPr>
          <w:sz w:val="20"/>
          <w:szCs w:val="20"/>
        </w:rPr>
        <w:t>. Bere na vědomí</w:t>
      </w:r>
    </w:p>
    <w:p w:rsidR="00257DFF" w:rsidRPr="00773A9C" w:rsidRDefault="00257DFF" w:rsidP="00257DFF">
      <w:pPr>
        <w:rPr>
          <w:rFonts w:ascii="Tahoma" w:hAnsi="Tahoma" w:cs="Tahoma"/>
          <w:sz w:val="20"/>
          <w:szCs w:val="20"/>
        </w:rPr>
      </w:pPr>
      <w:r w:rsidRPr="00773A9C">
        <w:rPr>
          <w:rFonts w:ascii="Tahoma" w:hAnsi="Tahoma" w:cs="Tahoma"/>
          <w:sz w:val="20"/>
          <w:szCs w:val="20"/>
        </w:rPr>
        <w:t>Přehled schválených rozpočtových opatření v roce 202</w:t>
      </w:r>
      <w:r>
        <w:rPr>
          <w:rFonts w:ascii="Tahoma" w:hAnsi="Tahoma" w:cs="Tahoma"/>
          <w:sz w:val="20"/>
          <w:szCs w:val="20"/>
        </w:rPr>
        <w:t>4</w:t>
      </w:r>
      <w:r w:rsidRPr="00773A9C">
        <w:rPr>
          <w:rFonts w:ascii="Tahoma" w:hAnsi="Tahoma" w:cs="Tahoma"/>
          <w:sz w:val="20"/>
          <w:szCs w:val="20"/>
        </w:rPr>
        <w:t>.</w:t>
      </w:r>
    </w:p>
    <w:p w:rsidR="00257DFF" w:rsidRDefault="00257DFF" w:rsidP="00257DFF">
      <w:pPr>
        <w:rPr>
          <w:rFonts w:ascii="Tahoma" w:hAnsi="Tahoma" w:cs="Tahoma"/>
          <w:sz w:val="20"/>
          <w:szCs w:val="20"/>
        </w:rPr>
      </w:pPr>
    </w:p>
    <w:p w:rsidR="005E4ACF" w:rsidRPr="00483553" w:rsidRDefault="005E4ACF" w:rsidP="005E4ACF">
      <w:pPr>
        <w:pStyle w:val="Nadpis2"/>
        <w:rPr>
          <w:rFonts w:ascii="Tahoma" w:hAnsi="Tahoma" w:cs="Tahoma"/>
          <w:sz w:val="24"/>
        </w:rPr>
      </w:pPr>
      <w:r w:rsidRPr="00483553">
        <w:rPr>
          <w:rFonts w:ascii="Tahoma" w:hAnsi="Tahoma" w:cs="Tahoma"/>
          <w:sz w:val="24"/>
        </w:rPr>
        <w:t>Zubní lékařka</w:t>
      </w:r>
      <w:r w:rsidR="003512B1">
        <w:rPr>
          <w:rFonts w:ascii="Tahoma" w:hAnsi="Tahoma" w:cs="Tahoma"/>
          <w:sz w:val="24"/>
        </w:rPr>
        <w:t xml:space="preserve"> </w:t>
      </w:r>
      <w:r w:rsidRPr="00483553">
        <w:rPr>
          <w:rFonts w:ascii="Tahoma" w:hAnsi="Tahoma" w:cs="Tahoma"/>
          <w:sz w:val="24"/>
        </w:rPr>
        <w:t>– poskytnutí dotace na vybavení ordinace, rozpočtové opatření č. 84</w:t>
      </w:r>
    </w:p>
    <w:p w:rsidR="005E4ACF" w:rsidRPr="00483553" w:rsidRDefault="005E4ACF" w:rsidP="005E4AC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</w:p>
    <w:p w:rsidR="00A60684" w:rsidRPr="00C1424B" w:rsidRDefault="00A60684" w:rsidP="00A60684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C1424B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A60684" w:rsidRPr="00C1424B" w:rsidRDefault="00A60684" w:rsidP="00A6068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Zastupitelstvo</w:t>
      </w:r>
      <w:r w:rsidRPr="00C1424B">
        <w:rPr>
          <w:rFonts w:ascii="Tahoma" w:hAnsi="Tahoma" w:cs="Tahoma"/>
          <w:sz w:val="20"/>
          <w:szCs w:val="20"/>
        </w:rPr>
        <w:t xml:space="preserve"> města po projednání</w:t>
      </w:r>
    </w:p>
    <w:p w:rsidR="005E4ACF" w:rsidRPr="00503923" w:rsidRDefault="005E4ACF" w:rsidP="005E4ACF">
      <w:pPr>
        <w:jc w:val="both"/>
        <w:rPr>
          <w:rFonts w:ascii="Tahoma" w:hAnsi="Tahoma" w:cs="Tahoma"/>
          <w:sz w:val="20"/>
          <w:szCs w:val="20"/>
        </w:rPr>
      </w:pPr>
    </w:p>
    <w:p w:rsidR="005E4ACF" w:rsidRPr="00AB3ADF" w:rsidRDefault="005E4ACF" w:rsidP="005E4ACF">
      <w:pPr>
        <w:pStyle w:val="Nadpis3"/>
        <w:rPr>
          <w:sz w:val="20"/>
          <w:szCs w:val="20"/>
          <w:u w:val="none"/>
        </w:rPr>
      </w:pPr>
      <w:r w:rsidRPr="00AB3ADF">
        <w:rPr>
          <w:sz w:val="20"/>
          <w:szCs w:val="20"/>
          <w:u w:val="none"/>
        </w:rPr>
        <w:t xml:space="preserve">I. </w:t>
      </w:r>
      <w:r w:rsidR="00A60684">
        <w:rPr>
          <w:sz w:val="20"/>
          <w:szCs w:val="20"/>
          <w:u w:val="none"/>
        </w:rPr>
        <w:t>Schvaluje</w:t>
      </w:r>
    </w:p>
    <w:p w:rsidR="005E4ACF" w:rsidRDefault="005E4ACF" w:rsidP="005E4ACF">
      <w:pPr>
        <w:pStyle w:val="Zkladntext2"/>
        <w:rPr>
          <w:rFonts w:ascii="Tahoma" w:hAnsi="Tahoma" w:cs="Tahoma"/>
          <w:sz w:val="20"/>
          <w:szCs w:val="20"/>
        </w:rPr>
      </w:pPr>
      <w:r w:rsidRPr="004E1190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84</w:t>
      </w:r>
      <w:r w:rsidRPr="004E1190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1.190.000,00</w:t>
      </w:r>
      <w:r w:rsidRPr="004E1190">
        <w:rPr>
          <w:rFonts w:ascii="Tahoma" w:hAnsi="Tahoma" w:cs="Tahoma"/>
          <w:sz w:val="20"/>
          <w:szCs w:val="20"/>
        </w:rPr>
        <w:t xml:space="preserve"> Kč</w:t>
      </w:r>
    </w:p>
    <w:p w:rsidR="005E4ACF" w:rsidRPr="004E1190" w:rsidRDefault="005E4ACF" w:rsidP="005E4ACF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8A5293">
        <w:rPr>
          <w:rFonts w:ascii="Tahoma" w:hAnsi="Tahoma" w:cs="Tahoma"/>
          <w:sz w:val="20"/>
          <w:szCs w:val="20"/>
        </w:rPr>
        <w:t>Poskytnutí dotace nové</w:t>
      </w:r>
      <w:r>
        <w:rPr>
          <w:rFonts w:ascii="Tahoma" w:hAnsi="Tahoma" w:cs="Tahoma"/>
          <w:sz w:val="20"/>
          <w:szCs w:val="20"/>
        </w:rPr>
        <w:t xml:space="preserve"> zubní</w:t>
      </w:r>
      <w:r w:rsidRPr="008A5293">
        <w:rPr>
          <w:rFonts w:ascii="Tahoma" w:hAnsi="Tahoma" w:cs="Tahoma"/>
          <w:sz w:val="20"/>
          <w:szCs w:val="20"/>
        </w:rPr>
        <w:t xml:space="preserve"> lékař</w:t>
      </w:r>
      <w:r>
        <w:rPr>
          <w:rFonts w:ascii="Tahoma" w:hAnsi="Tahoma" w:cs="Tahoma"/>
          <w:sz w:val="20"/>
          <w:szCs w:val="20"/>
        </w:rPr>
        <w:t>ce</w:t>
      </w:r>
      <w:r w:rsidRPr="008A5293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8A5293">
        <w:rPr>
          <w:rFonts w:ascii="Tahoma" w:hAnsi="Tahoma" w:cs="Tahoma"/>
          <w:sz w:val="20"/>
          <w:szCs w:val="20"/>
        </w:rPr>
        <w:t>Strakonicích</w:t>
      </w:r>
      <w:proofErr w:type="gramEnd"/>
      <w:r w:rsidRPr="008A5293">
        <w:rPr>
          <w:rFonts w:ascii="Tahoma" w:hAnsi="Tahoma" w:cs="Tahoma"/>
          <w:sz w:val="20"/>
          <w:szCs w:val="20"/>
        </w:rPr>
        <w:t xml:space="preserve"> na vybavení zubní ordinace.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276"/>
        <w:gridCol w:w="1984"/>
      </w:tblGrid>
      <w:tr w:rsidR="005E4ACF" w:rsidRPr="004E1190" w:rsidTr="004B220D">
        <w:tc>
          <w:tcPr>
            <w:tcW w:w="1985" w:type="dxa"/>
          </w:tcPr>
          <w:p w:rsidR="005E4ACF" w:rsidRPr="004E1190" w:rsidRDefault="005E4ACF" w:rsidP="004B220D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:rsidR="005E4ACF" w:rsidRPr="004E1190" w:rsidRDefault="005E4ACF" w:rsidP="004B220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4" w:type="dxa"/>
          </w:tcPr>
          <w:p w:rsidR="005E4ACF" w:rsidRPr="004E1190" w:rsidRDefault="005E4ACF" w:rsidP="004B220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600</w:t>
            </w:r>
            <w:r w:rsidRPr="004E1190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3519</w:t>
            </w:r>
            <w:r w:rsidRPr="004E1190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6312</w:t>
            </w:r>
          </w:p>
        </w:tc>
      </w:tr>
      <w:tr w:rsidR="005E4ACF" w:rsidRPr="004E1190" w:rsidTr="004B220D">
        <w:tc>
          <w:tcPr>
            <w:tcW w:w="1985" w:type="dxa"/>
          </w:tcPr>
          <w:p w:rsidR="005E4ACF" w:rsidRPr="004E1190" w:rsidRDefault="005E4ACF" w:rsidP="004B220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4ACF" w:rsidRPr="004E1190" w:rsidRDefault="005E4ACF" w:rsidP="004B220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1984" w:type="dxa"/>
          </w:tcPr>
          <w:p w:rsidR="005E4ACF" w:rsidRPr="004E1190" w:rsidRDefault="005E4ACF" w:rsidP="004B220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:rsidR="005E4ACF" w:rsidRPr="00503923" w:rsidRDefault="005E4ACF" w:rsidP="005E4ACF">
      <w:pPr>
        <w:rPr>
          <w:rFonts w:ascii="Tahoma" w:hAnsi="Tahoma" w:cs="Tahoma"/>
          <w:sz w:val="20"/>
          <w:szCs w:val="20"/>
        </w:rPr>
      </w:pPr>
    </w:p>
    <w:p w:rsidR="005E4ACF" w:rsidRPr="00AB3ADF" w:rsidRDefault="005E4ACF" w:rsidP="005E4ACF">
      <w:pPr>
        <w:pStyle w:val="Nadpis3"/>
        <w:rPr>
          <w:sz w:val="20"/>
          <w:szCs w:val="20"/>
          <w:u w:val="none"/>
        </w:rPr>
      </w:pPr>
      <w:r w:rsidRPr="00AB3ADF">
        <w:rPr>
          <w:sz w:val="20"/>
          <w:szCs w:val="20"/>
          <w:u w:val="none"/>
        </w:rPr>
        <w:t xml:space="preserve">II. </w:t>
      </w:r>
      <w:r w:rsidR="00A60684">
        <w:rPr>
          <w:sz w:val="20"/>
          <w:szCs w:val="20"/>
          <w:u w:val="none"/>
        </w:rPr>
        <w:t>Schvaluje</w:t>
      </w:r>
    </w:p>
    <w:p w:rsidR="005E4ACF" w:rsidRDefault="005E4ACF" w:rsidP="005E4ACF">
      <w:pPr>
        <w:tabs>
          <w:tab w:val="left" w:pos="284"/>
        </w:tabs>
        <w:overflowPunct w:val="0"/>
        <w:autoSpaceDE w:val="0"/>
        <w:autoSpaceDN w:val="0"/>
        <w:adjustRightInd w:val="0"/>
        <w:ind w:left="-11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poskytnu</w:t>
      </w:r>
      <w:r w:rsidRPr="00EE3ACD">
        <w:rPr>
          <w:rFonts w:ascii="Tahoma" w:hAnsi="Tahoma" w:cs="Tahoma"/>
          <w:sz w:val="20"/>
          <w:szCs w:val="20"/>
        </w:rPr>
        <w:t>tí dotace</w:t>
      </w:r>
      <w:r w:rsidR="003512B1">
        <w:rPr>
          <w:rFonts w:ascii="Tahoma" w:hAnsi="Tahoma" w:cs="Tahoma"/>
          <w:sz w:val="20"/>
          <w:szCs w:val="20"/>
        </w:rPr>
        <w:t xml:space="preserve"> paní XX</w:t>
      </w:r>
      <w:r>
        <w:rPr>
          <w:rFonts w:ascii="Tahoma" w:hAnsi="Tahoma" w:cs="Tahoma"/>
          <w:sz w:val="20"/>
          <w:szCs w:val="20"/>
        </w:rPr>
        <w:t xml:space="preserve"> praktické zubní lékařství, se sídlem Mikulova 1572/13, 149 00, Praha 4, IČO 71198474</w:t>
      </w:r>
      <w:r w:rsidRPr="00EE3ACD">
        <w:rPr>
          <w:rFonts w:ascii="Tahoma" w:hAnsi="Tahoma" w:cs="Tahoma"/>
          <w:sz w:val="20"/>
          <w:szCs w:val="20"/>
        </w:rPr>
        <w:t xml:space="preserve"> ve</w:t>
      </w:r>
      <w:r>
        <w:rPr>
          <w:rFonts w:ascii="Tahoma" w:hAnsi="Tahoma" w:cs="Tahoma"/>
          <w:sz w:val="20"/>
          <w:szCs w:val="20"/>
        </w:rPr>
        <w:t> </w:t>
      </w:r>
      <w:r w:rsidRPr="00EE3ACD">
        <w:rPr>
          <w:rFonts w:ascii="Tahoma" w:hAnsi="Tahoma" w:cs="Tahoma"/>
          <w:sz w:val="20"/>
          <w:szCs w:val="20"/>
        </w:rPr>
        <w:t xml:space="preserve">výši </w:t>
      </w:r>
      <w:r>
        <w:rPr>
          <w:rFonts w:ascii="Tahoma" w:hAnsi="Tahoma" w:cs="Tahoma"/>
          <w:sz w:val="20"/>
          <w:szCs w:val="20"/>
        </w:rPr>
        <w:t>1.190.0</w:t>
      </w:r>
      <w:r w:rsidRPr="00EE3ACD">
        <w:rPr>
          <w:rFonts w:ascii="Tahoma" w:hAnsi="Tahoma" w:cs="Tahoma"/>
          <w:sz w:val="20"/>
          <w:szCs w:val="20"/>
        </w:rPr>
        <w:t xml:space="preserve">00.000 Kč (slovy </w:t>
      </w:r>
      <w:r>
        <w:rPr>
          <w:rFonts w:ascii="Tahoma" w:hAnsi="Tahoma" w:cs="Tahoma"/>
          <w:sz w:val="20"/>
          <w:szCs w:val="20"/>
        </w:rPr>
        <w:t>jeden milion jedno sto devadesát</w:t>
      </w:r>
      <w:r w:rsidRPr="00EE3ACD">
        <w:rPr>
          <w:rFonts w:ascii="Tahoma" w:hAnsi="Tahoma" w:cs="Tahoma"/>
          <w:sz w:val="20"/>
          <w:szCs w:val="20"/>
        </w:rPr>
        <w:t xml:space="preserve"> tisíc korun českých) na vybavení nové zubní ordinace na území města Strakonice, zejména </w:t>
      </w:r>
      <w:r>
        <w:rPr>
          <w:rFonts w:ascii="Tahoma" w:hAnsi="Tahoma" w:cs="Tahoma"/>
          <w:sz w:val="20"/>
          <w:szCs w:val="20"/>
        </w:rPr>
        <w:t xml:space="preserve">na </w:t>
      </w:r>
      <w:r w:rsidRPr="00EE3ACD">
        <w:rPr>
          <w:rFonts w:ascii="Tahoma" w:hAnsi="Tahoma" w:cs="Tahoma"/>
          <w:sz w:val="20"/>
          <w:szCs w:val="20"/>
        </w:rPr>
        <w:t>nákup movitých věcí nutných k provozu zubní ordinace.</w:t>
      </w:r>
    </w:p>
    <w:p w:rsidR="005E4ACF" w:rsidRPr="00EE3ACD" w:rsidRDefault="005E4ACF" w:rsidP="005E4ACF">
      <w:pPr>
        <w:tabs>
          <w:tab w:val="left" w:pos="284"/>
        </w:tabs>
        <w:overflowPunct w:val="0"/>
        <w:autoSpaceDE w:val="0"/>
        <w:autoSpaceDN w:val="0"/>
        <w:adjustRightInd w:val="0"/>
        <w:ind w:left="-11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5E4ACF" w:rsidRPr="00AB3ADF" w:rsidRDefault="005E4ACF" w:rsidP="005E4ACF">
      <w:pPr>
        <w:pStyle w:val="Nadpis3"/>
        <w:rPr>
          <w:sz w:val="20"/>
          <w:szCs w:val="20"/>
          <w:u w:val="none"/>
        </w:rPr>
      </w:pPr>
      <w:r w:rsidRPr="00AB3ADF">
        <w:rPr>
          <w:sz w:val="20"/>
          <w:szCs w:val="20"/>
          <w:u w:val="none"/>
        </w:rPr>
        <w:t xml:space="preserve">III. </w:t>
      </w:r>
      <w:r w:rsidR="00A60684">
        <w:rPr>
          <w:sz w:val="20"/>
          <w:szCs w:val="20"/>
          <w:u w:val="none"/>
        </w:rPr>
        <w:t>Schvaluje</w:t>
      </w:r>
    </w:p>
    <w:p w:rsidR="005E4ACF" w:rsidRDefault="005E4ACF" w:rsidP="005E4ACF">
      <w:pPr>
        <w:pStyle w:val="TTV"/>
        <w:jc w:val="both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 xml:space="preserve">uzavření Smlouvy o poskytnutí dotace mezi městem Strakonice, Velké náměstí 2, IČ 00251810, jako poskytovatelem a </w:t>
      </w:r>
      <w:r w:rsidR="003512B1">
        <w:rPr>
          <w:rFonts w:ascii="Tahoma" w:hAnsi="Tahoma" w:cs="Tahoma"/>
          <w:sz w:val="20"/>
          <w:szCs w:val="20"/>
        </w:rPr>
        <w:t>paní XX</w:t>
      </w:r>
      <w:r>
        <w:rPr>
          <w:rFonts w:ascii="Tahoma" w:hAnsi="Tahoma" w:cs="Tahoma"/>
          <w:sz w:val="20"/>
          <w:szCs w:val="20"/>
        </w:rPr>
        <w:t>, praktické zubní lékařství, se sídlem Mikulova 1572/13, 149 00, Praha 4, IČO 71198474,</w:t>
      </w:r>
      <w:r w:rsidRPr="00503923">
        <w:rPr>
          <w:rFonts w:ascii="Tahoma" w:hAnsi="Tahoma" w:cs="Tahoma"/>
          <w:sz w:val="20"/>
          <w:szCs w:val="20"/>
        </w:rPr>
        <w:t xml:space="preserve"> jako příjemcem, jejímž předmětem je</w:t>
      </w:r>
      <w:r>
        <w:rPr>
          <w:rFonts w:ascii="Tahoma" w:hAnsi="Tahoma" w:cs="Tahoma"/>
          <w:sz w:val="20"/>
          <w:szCs w:val="20"/>
        </w:rPr>
        <w:t xml:space="preserve"> pořízení</w:t>
      </w:r>
      <w:r w:rsidRPr="00503923">
        <w:rPr>
          <w:rFonts w:ascii="Tahoma" w:hAnsi="Tahoma" w:cs="Tahoma"/>
          <w:sz w:val="20"/>
          <w:szCs w:val="20"/>
        </w:rPr>
        <w:t xml:space="preserve"> </w:t>
      </w:r>
      <w:r w:rsidRPr="00496CE8">
        <w:rPr>
          <w:rFonts w:ascii="Tahoma" w:hAnsi="Tahoma" w:cs="Tahoma"/>
          <w:sz w:val="20"/>
          <w:szCs w:val="20"/>
        </w:rPr>
        <w:t>vybavení nové zubní ordinace na území města Strakonice</w:t>
      </w:r>
      <w:r>
        <w:rPr>
          <w:rFonts w:ascii="Tahoma" w:hAnsi="Tahoma" w:cs="Tahoma"/>
          <w:sz w:val="20"/>
          <w:szCs w:val="20"/>
        </w:rPr>
        <w:t>.</w:t>
      </w:r>
      <w:r w:rsidRPr="00503923">
        <w:rPr>
          <w:rFonts w:ascii="Tahoma" w:hAnsi="Tahoma" w:cs="Tahoma"/>
          <w:sz w:val="20"/>
          <w:szCs w:val="20"/>
        </w:rPr>
        <w:t xml:space="preserve">  </w:t>
      </w:r>
    </w:p>
    <w:p w:rsidR="005E4ACF" w:rsidRPr="00503923" w:rsidRDefault="005E4ACF" w:rsidP="005E4ACF">
      <w:pPr>
        <w:pStyle w:val="TTV"/>
        <w:jc w:val="both"/>
        <w:rPr>
          <w:rFonts w:ascii="Tahoma" w:hAnsi="Tahoma" w:cs="Tahoma"/>
          <w:sz w:val="20"/>
          <w:szCs w:val="20"/>
        </w:rPr>
      </w:pPr>
    </w:p>
    <w:p w:rsidR="005E4ACF" w:rsidRPr="00AB3ADF" w:rsidRDefault="005E4ACF" w:rsidP="005E4ACF">
      <w:pPr>
        <w:pStyle w:val="Nadpis3"/>
        <w:rPr>
          <w:sz w:val="20"/>
          <w:szCs w:val="20"/>
          <w:u w:val="none"/>
        </w:rPr>
      </w:pPr>
      <w:r w:rsidRPr="00AB3ADF">
        <w:rPr>
          <w:sz w:val="20"/>
          <w:szCs w:val="20"/>
          <w:u w:val="none"/>
        </w:rPr>
        <w:t xml:space="preserve">IV. </w:t>
      </w:r>
      <w:r w:rsidR="00A60684">
        <w:rPr>
          <w:sz w:val="20"/>
          <w:szCs w:val="20"/>
          <w:u w:val="none"/>
        </w:rPr>
        <w:t>Pověřuje</w:t>
      </w:r>
    </w:p>
    <w:p w:rsidR="005E4ACF" w:rsidRPr="00503923" w:rsidRDefault="005E4ACF" w:rsidP="005E4ACF">
      <w:pPr>
        <w:pStyle w:val="Zkladntext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starostu města podpisem předmětné smlouvy v předloženém znění.</w:t>
      </w:r>
    </w:p>
    <w:p w:rsidR="005E4ACF" w:rsidRDefault="005E4ACF" w:rsidP="004D43B6">
      <w:pPr>
        <w:rPr>
          <w:rFonts w:ascii="Tahoma" w:hAnsi="Tahoma" w:cs="Tahoma"/>
          <w:sz w:val="20"/>
          <w:szCs w:val="20"/>
        </w:rPr>
      </w:pPr>
    </w:p>
    <w:p w:rsidR="002D0FA4" w:rsidRPr="00677E9B" w:rsidRDefault="002D0FA4" w:rsidP="002D0FA4">
      <w:pPr>
        <w:pStyle w:val="Nadpis2"/>
        <w:rPr>
          <w:rFonts w:ascii="Tahoma" w:hAnsi="Tahoma" w:cs="Tahoma"/>
          <w:sz w:val="24"/>
        </w:rPr>
      </w:pPr>
      <w:r w:rsidRPr="00677E9B">
        <w:rPr>
          <w:rFonts w:ascii="Tahoma" w:hAnsi="Tahoma" w:cs="Tahoma"/>
          <w:sz w:val="24"/>
        </w:rPr>
        <w:t xml:space="preserve">Kontrolní výbor – Zápis č. 4 ze dne </w:t>
      </w:r>
      <w:proofErr w:type="gramStart"/>
      <w:r w:rsidRPr="00677E9B">
        <w:rPr>
          <w:rFonts w:ascii="Tahoma" w:hAnsi="Tahoma" w:cs="Tahoma"/>
          <w:sz w:val="24"/>
        </w:rPr>
        <w:t>05.09.2024</w:t>
      </w:r>
      <w:proofErr w:type="gramEnd"/>
    </w:p>
    <w:p w:rsidR="002D0FA4" w:rsidRDefault="002D0FA4" w:rsidP="002D0FA4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</w:rPr>
      </w:pPr>
    </w:p>
    <w:p w:rsidR="00C7110D" w:rsidRPr="00503923" w:rsidRDefault="00C7110D" w:rsidP="00C7110D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503923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C7110D" w:rsidRPr="00503923" w:rsidRDefault="00C7110D" w:rsidP="00C7110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Zastupitelstvo města</w:t>
      </w:r>
      <w:r w:rsidRPr="00503923">
        <w:rPr>
          <w:rFonts w:ascii="Tahoma" w:hAnsi="Tahoma" w:cs="Tahoma"/>
          <w:sz w:val="20"/>
          <w:szCs w:val="20"/>
        </w:rPr>
        <w:t xml:space="preserve"> po projednání</w:t>
      </w:r>
    </w:p>
    <w:p w:rsidR="002D0FA4" w:rsidRPr="00661A1B" w:rsidRDefault="002D0FA4" w:rsidP="002D0FA4">
      <w:pPr>
        <w:rPr>
          <w:rFonts w:ascii="Tahoma" w:hAnsi="Tahoma" w:cs="Tahoma"/>
          <w:sz w:val="20"/>
          <w:szCs w:val="20"/>
        </w:rPr>
      </w:pPr>
    </w:p>
    <w:p w:rsidR="00E01350" w:rsidRPr="00AC0677" w:rsidRDefault="00E01350" w:rsidP="00E01350">
      <w:pPr>
        <w:pStyle w:val="Nadpis3"/>
        <w:rPr>
          <w:sz w:val="20"/>
          <w:szCs w:val="20"/>
        </w:rPr>
      </w:pPr>
      <w:r w:rsidRPr="00AC0677">
        <w:rPr>
          <w:sz w:val="20"/>
          <w:szCs w:val="20"/>
        </w:rPr>
        <w:t xml:space="preserve">I. </w:t>
      </w:r>
      <w:r>
        <w:rPr>
          <w:sz w:val="20"/>
          <w:szCs w:val="20"/>
        </w:rPr>
        <w:t>Bere na vědomí</w:t>
      </w:r>
    </w:p>
    <w:p w:rsidR="002D0FA4" w:rsidRDefault="007D1752" w:rsidP="002D0FA4">
      <w:pPr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Z</w:t>
      </w:r>
      <w:r w:rsidR="002D0FA4" w:rsidRPr="00661A1B">
        <w:rPr>
          <w:rFonts w:ascii="Tahoma" w:eastAsia="MS Mincho" w:hAnsi="Tahoma" w:cs="Tahoma"/>
          <w:sz w:val="20"/>
          <w:szCs w:val="20"/>
        </w:rPr>
        <w:t xml:space="preserve">ápis z jednání </w:t>
      </w:r>
      <w:r w:rsidR="002D0FA4">
        <w:rPr>
          <w:rFonts w:ascii="Tahoma" w:eastAsia="MS Mincho" w:hAnsi="Tahoma" w:cs="Tahoma"/>
          <w:sz w:val="20"/>
          <w:szCs w:val="20"/>
        </w:rPr>
        <w:t xml:space="preserve">kontrolního </w:t>
      </w:r>
      <w:r w:rsidR="002D0FA4" w:rsidRPr="00661A1B">
        <w:rPr>
          <w:rFonts w:ascii="Tahoma" w:eastAsia="MS Mincho" w:hAnsi="Tahoma" w:cs="Tahoma"/>
          <w:sz w:val="20"/>
          <w:szCs w:val="20"/>
        </w:rPr>
        <w:t xml:space="preserve">výboru č. </w:t>
      </w:r>
      <w:r w:rsidR="002D0FA4">
        <w:rPr>
          <w:rFonts w:ascii="Tahoma" w:eastAsia="MS Mincho" w:hAnsi="Tahoma" w:cs="Tahoma"/>
          <w:sz w:val="20"/>
          <w:szCs w:val="20"/>
        </w:rPr>
        <w:t>4</w:t>
      </w:r>
      <w:r w:rsidR="002D0FA4" w:rsidRPr="00661A1B">
        <w:rPr>
          <w:rFonts w:ascii="Tahoma" w:eastAsia="MS Mincho" w:hAnsi="Tahoma" w:cs="Tahoma"/>
          <w:sz w:val="20"/>
          <w:szCs w:val="20"/>
        </w:rPr>
        <w:t xml:space="preserve"> ze dne </w:t>
      </w:r>
      <w:proofErr w:type="gramStart"/>
      <w:r w:rsidR="002D0FA4">
        <w:rPr>
          <w:rFonts w:ascii="Tahoma" w:eastAsia="MS Mincho" w:hAnsi="Tahoma" w:cs="Tahoma"/>
          <w:sz w:val="20"/>
          <w:szCs w:val="20"/>
        </w:rPr>
        <w:t>05</w:t>
      </w:r>
      <w:r w:rsidR="002D0FA4" w:rsidRPr="00661A1B">
        <w:rPr>
          <w:rFonts w:ascii="Tahoma" w:eastAsia="MS Mincho" w:hAnsi="Tahoma" w:cs="Tahoma"/>
          <w:sz w:val="20"/>
          <w:szCs w:val="20"/>
        </w:rPr>
        <w:t>.0</w:t>
      </w:r>
      <w:r w:rsidR="002D0FA4">
        <w:rPr>
          <w:rFonts w:ascii="Tahoma" w:eastAsia="MS Mincho" w:hAnsi="Tahoma" w:cs="Tahoma"/>
          <w:sz w:val="20"/>
          <w:szCs w:val="20"/>
        </w:rPr>
        <w:t>9</w:t>
      </w:r>
      <w:r w:rsidR="002D0FA4" w:rsidRPr="00661A1B">
        <w:rPr>
          <w:rFonts w:ascii="Tahoma" w:eastAsia="MS Mincho" w:hAnsi="Tahoma" w:cs="Tahoma"/>
          <w:sz w:val="20"/>
          <w:szCs w:val="20"/>
        </w:rPr>
        <w:t>.202</w:t>
      </w:r>
      <w:r w:rsidR="002D0FA4">
        <w:rPr>
          <w:rFonts w:ascii="Tahoma" w:eastAsia="MS Mincho" w:hAnsi="Tahoma" w:cs="Tahoma"/>
          <w:sz w:val="20"/>
          <w:szCs w:val="20"/>
        </w:rPr>
        <w:t>4</w:t>
      </w:r>
      <w:proofErr w:type="gramEnd"/>
      <w:r w:rsidR="002D0FA4" w:rsidRPr="00661A1B">
        <w:rPr>
          <w:rFonts w:ascii="Tahoma" w:eastAsia="MS Mincho" w:hAnsi="Tahoma" w:cs="Tahoma"/>
          <w:sz w:val="20"/>
          <w:szCs w:val="20"/>
        </w:rPr>
        <w:t>.</w:t>
      </w:r>
    </w:p>
    <w:p w:rsidR="002D0FA4" w:rsidRDefault="002D0FA4" w:rsidP="002D0FA4">
      <w:pPr>
        <w:rPr>
          <w:rFonts w:ascii="Tahoma" w:eastAsia="MS Mincho" w:hAnsi="Tahoma" w:cs="Tahoma"/>
          <w:sz w:val="20"/>
          <w:szCs w:val="20"/>
        </w:rPr>
      </w:pPr>
    </w:p>
    <w:p w:rsidR="004D43B6" w:rsidRPr="00661A1B" w:rsidRDefault="004D43B6" w:rsidP="002D0FA4">
      <w:pPr>
        <w:rPr>
          <w:rFonts w:ascii="Tahoma" w:eastAsia="MS Mincho" w:hAnsi="Tahoma" w:cs="Tahoma"/>
          <w:sz w:val="20"/>
          <w:szCs w:val="20"/>
        </w:rPr>
      </w:pPr>
    </w:p>
    <w:p w:rsidR="002D0FA4" w:rsidRDefault="002D0FA4" w:rsidP="002D0FA4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2D0FA4" w:rsidRPr="00AC0677" w:rsidRDefault="002D0FA4" w:rsidP="00DD77A1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</w:p>
    <w:sectPr w:rsidR="002D0FA4" w:rsidRPr="00AC0677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8C3F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5CE687C"/>
    <w:multiLevelType w:val="hybridMultilevel"/>
    <w:tmpl w:val="65E2FCB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5B29BF"/>
    <w:multiLevelType w:val="hybridMultilevel"/>
    <w:tmpl w:val="DE3E79F8"/>
    <w:lvl w:ilvl="0" w:tplc="CC98962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97621D"/>
    <w:multiLevelType w:val="hybridMultilevel"/>
    <w:tmpl w:val="A07653B0"/>
    <w:lvl w:ilvl="0" w:tplc="FE04A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D73D4"/>
    <w:multiLevelType w:val="hybridMultilevel"/>
    <w:tmpl w:val="C476737C"/>
    <w:lvl w:ilvl="0" w:tplc="002A9504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0D3D14"/>
    <w:multiLevelType w:val="hybridMultilevel"/>
    <w:tmpl w:val="BACA6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4413A"/>
    <w:multiLevelType w:val="hybridMultilevel"/>
    <w:tmpl w:val="14845E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400DC7"/>
    <w:multiLevelType w:val="hybridMultilevel"/>
    <w:tmpl w:val="63E273D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F30EEA"/>
    <w:multiLevelType w:val="hybridMultilevel"/>
    <w:tmpl w:val="2E749F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26D44"/>
    <w:multiLevelType w:val="hybridMultilevel"/>
    <w:tmpl w:val="3B104D5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F861EC"/>
    <w:multiLevelType w:val="hybridMultilevel"/>
    <w:tmpl w:val="B68A7488"/>
    <w:lvl w:ilvl="0" w:tplc="EEAE0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DE64E6"/>
    <w:multiLevelType w:val="hybridMultilevel"/>
    <w:tmpl w:val="30B2678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81937E1"/>
    <w:multiLevelType w:val="hybridMultilevel"/>
    <w:tmpl w:val="FDB827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CC7CD8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DD2CA7"/>
    <w:multiLevelType w:val="hybridMultilevel"/>
    <w:tmpl w:val="91FCD3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0A5FBE"/>
    <w:multiLevelType w:val="hybridMultilevel"/>
    <w:tmpl w:val="1B2E3392"/>
    <w:lvl w:ilvl="0" w:tplc="AB8A5346">
      <w:start w:val="1"/>
      <w:numFmt w:val="decimal"/>
      <w:pStyle w:val="Nadpis2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1B2112"/>
    <w:multiLevelType w:val="hybridMultilevel"/>
    <w:tmpl w:val="BFEC69A8"/>
    <w:lvl w:ilvl="0" w:tplc="17B49D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78065509"/>
    <w:multiLevelType w:val="hybridMultilevel"/>
    <w:tmpl w:val="AC34B570"/>
    <w:lvl w:ilvl="0" w:tplc="A54A7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25"/>
  </w:num>
  <w:num w:numId="4">
    <w:abstractNumId w:val="34"/>
  </w:num>
  <w:num w:numId="5">
    <w:abstractNumId w:val="9"/>
  </w:num>
  <w:num w:numId="6">
    <w:abstractNumId w:val="1"/>
  </w:num>
  <w:num w:numId="7">
    <w:abstractNumId w:val="20"/>
  </w:num>
  <w:num w:numId="8">
    <w:abstractNumId w:val="33"/>
  </w:num>
  <w:num w:numId="9">
    <w:abstractNumId w:val="18"/>
  </w:num>
  <w:num w:numId="10">
    <w:abstractNumId w:val="29"/>
  </w:num>
  <w:num w:numId="11">
    <w:abstractNumId w:val="30"/>
  </w:num>
  <w:num w:numId="12">
    <w:abstractNumId w:val="8"/>
  </w:num>
  <w:num w:numId="13">
    <w:abstractNumId w:val="11"/>
  </w:num>
  <w:num w:numId="14">
    <w:abstractNumId w:val="28"/>
  </w:num>
  <w:num w:numId="15">
    <w:abstractNumId w:val="5"/>
  </w:num>
  <w:num w:numId="16">
    <w:abstractNumId w:val="21"/>
  </w:num>
  <w:num w:numId="17">
    <w:abstractNumId w:val="16"/>
  </w:num>
  <w:num w:numId="18">
    <w:abstractNumId w:val="32"/>
  </w:num>
  <w:num w:numId="19">
    <w:abstractNumId w:val="4"/>
  </w:num>
  <w:num w:numId="20">
    <w:abstractNumId w:val="0"/>
  </w:num>
  <w:num w:numId="21">
    <w:abstractNumId w:val="13"/>
  </w:num>
  <w:num w:numId="22">
    <w:abstractNumId w:val="22"/>
  </w:num>
  <w:num w:numId="23">
    <w:abstractNumId w:val="2"/>
  </w:num>
  <w:num w:numId="24">
    <w:abstractNumId w:val="23"/>
  </w:num>
  <w:num w:numId="25">
    <w:abstractNumId w:val="24"/>
  </w:num>
  <w:num w:numId="26">
    <w:abstractNumId w:val="26"/>
  </w:num>
  <w:num w:numId="27">
    <w:abstractNumId w:val="14"/>
  </w:num>
  <w:num w:numId="28">
    <w:abstractNumId w:val="31"/>
  </w:num>
  <w:num w:numId="29">
    <w:abstractNumId w:val="3"/>
  </w:num>
  <w:num w:numId="30">
    <w:abstractNumId w:val="6"/>
  </w:num>
  <w:num w:numId="31">
    <w:abstractNumId w:val="15"/>
  </w:num>
  <w:num w:numId="32">
    <w:abstractNumId w:val="17"/>
  </w:num>
  <w:num w:numId="33">
    <w:abstractNumId w:val="12"/>
  </w:num>
  <w:num w:numId="34">
    <w:abstractNumId w:val="10"/>
  </w:num>
  <w:num w:numId="35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displayBackgroundShape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06C2A"/>
    <w:rsid w:val="00010BCB"/>
    <w:rsid w:val="00021116"/>
    <w:rsid w:val="00022A75"/>
    <w:rsid w:val="000309F4"/>
    <w:rsid w:val="000333ED"/>
    <w:rsid w:val="00033E0D"/>
    <w:rsid w:val="000360B5"/>
    <w:rsid w:val="00041FC6"/>
    <w:rsid w:val="0005192E"/>
    <w:rsid w:val="00055019"/>
    <w:rsid w:val="00055A1F"/>
    <w:rsid w:val="00056CE5"/>
    <w:rsid w:val="000616FE"/>
    <w:rsid w:val="00061B64"/>
    <w:rsid w:val="00063D67"/>
    <w:rsid w:val="00074149"/>
    <w:rsid w:val="0008021E"/>
    <w:rsid w:val="00081560"/>
    <w:rsid w:val="00081A39"/>
    <w:rsid w:val="0008385D"/>
    <w:rsid w:val="000904C3"/>
    <w:rsid w:val="0009390B"/>
    <w:rsid w:val="00094822"/>
    <w:rsid w:val="00096C0D"/>
    <w:rsid w:val="000A10B8"/>
    <w:rsid w:val="000A174D"/>
    <w:rsid w:val="000A6D39"/>
    <w:rsid w:val="000B3836"/>
    <w:rsid w:val="000B67A7"/>
    <w:rsid w:val="000B7A3A"/>
    <w:rsid w:val="000D1524"/>
    <w:rsid w:val="000D2100"/>
    <w:rsid w:val="000D270A"/>
    <w:rsid w:val="000F393F"/>
    <w:rsid w:val="000F6585"/>
    <w:rsid w:val="00111C7C"/>
    <w:rsid w:val="00131B5F"/>
    <w:rsid w:val="00145E59"/>
    <w:rsid w:val="00146CFD"/>
    <w:rsid w:val="0015087B"/>
    <w:rsid w:val="001528F0"/>
    <w:rsid w:val="001557B3"/>
    <w:rsid w:val="00156487"/>
    <w:rsid w:val="00162E5D"/>
    <w:rsid w:val="00162F81"/>
    <w:rsid w:val="00163BB5"/>
    <w:rsid w:val="001718D2"/>
    <w:rsid w:val="00181A7F"/>
    <w:rsid w:val="0019325D"/>
    <w:rsid w:val="00197C73"/>
    <w:rsid w:val="001A00E0"/>
    <w:rsid w:val="001A0B59"/>
    <w:rsid w:val="001A2A84"/>
    <w:rsid w:val="001A65B8"/>
    <w:rsid w:val="001B08BC"/>
    <w:rsid w:val="001B3E76"/>
    <w:rsid w:val="001C214C"/>
    <w:rsid w:val="001D3F99"/>
    <w:rsid w:val="001D435E"/>
    <w:rsid w:val="001D5264"/>
    <w:rsid w:val="001E0B88"/>
    <w:rsid w:val="001E1BD4"/>
    <w:rsid w:val="001E2399"/>
    <w:rsid w:val="001E29FB"/>
    <w:rsid w:val="001E6129"/>
    <w:rsid w:val="001F356D"/>
    <w:rsid w:val="002001FF"/>
    <w:rsid w:val="0020331F"/>
    <w:rsid w:val="0020649D"/>
    <w:rsid w:val="00223F0F"/>
    <w:rsid w:val="0022651F"/>
    <w:rsid w:val="00235490"/>
    <w:rsid w:val="00236EFD"/>
    <w:rsid w:val="002507BB"/>
    <w:rsid w:val="00253710"/>
    <w:rsid w:val="00254FBF"/>
    <w:rsid w:val="00257DFF"/>
    <w:rsid w:val="002659EA"/>
    <w:rsid w:val="002667D8"/>
    <w:rsid w:val="00266E96"/>
    <w:rsid w:val="0027122A"/>
    <w:rsid w:val="00276B92"/>
    <w:rsid w:val="00285EEE"/>
    <w:rsid w:val="002A0DCE"/>
    <w:rsid w:val="002A58B2"/>
    <w:rsid w:val="002A740E"/>
    <w:rsid w:val="002D0FA4"/>
    <w:rsid w:val="002D2023"/>
    <w:rsid w:val="002E2FE7"/>
    <w:rsid w:val="002F4699"/>
    <w:rsid w:val="002F50E2"/>
    <w:rsid w:val="002F55E8"/>
    <w:rsid w:val="002F6CFB"/>
    <w:rsid w:val="00302C4E"/>
    <w:rsid w:val="00303DEC"/>
    <w:rsid w:val="00310937"/>
    <w:rsid w:val="003129BF"/>
    <w:rsid w:val="00330D85"/>
    <w:rsid w:val="00332A8E"/>
    <w:rsid w:val="00343CA2"/>
    <w:rsid w:val="00346384"/>
    <w:rsid w:val="003512B1"/>
    <w:rsid w:val="003525F5"/>
    <w:rsid w:val="003542EA"/>
    <w:rsid w:val="003649D8"/>
    <w:rsid w:val="00366898"/>
    <w:rsid w:val="00384587"/>
    <w:rsid w:val="003904E1"/>
    <w:rsid w:val="00396CCD"/>
    <w:rsid w:val="003A1B98"/>
    <w:rsid w:val="003B0C04"/>
    <w:rsid w:val="003B1525"/>
    <w:rsid w:val="003B178A"/>
    <w:rsid w:val="003C1C5D"/>
    <w:rsid w:val="003D0969"/>
    <w:rsid w:val="003D24D8"/>
    <w:rsid w:val="003D3BBC"/>
    <w:rsid w:val="003D4379"/>
    <w:rsid w:val="003F6B0A"/>
    <w:rsid w:val="004016E1"/>
    <w:rsid w:val="00413FC7"/>
    <w:rsid w:val="0041491D"/>
    <w:rsid w:val="00420E34"/>
    <w:rsid w:val="00423D69"/>
    <w:rsid w:val="00430E5E"/>
    <w:rsid w:val="00432BD3"/>
    <w:rsid w:val="00435F44"/>
    <w:rsid w:val="004373BC"/>
    <w:rsid w:val="004424C9"/>
    <w:rsid w:val="00443FEA"/>
    <w:rsid w:val="0044514F"/>
    <w:rsid w:val="004567DB"/>
    <w:rsid w:val="00476B0D"/>
    <w:rsid w:val="00483553"/>
    <w:rsid w:val="004859E9"/>
    <w:rsid w:val="00487563"/>
    <w:rsid w:val="004875EF"/>
    <w:rsid w:val="0049228B"/>
    <w:rsid w:val="004965D7"/>
    <w:rsid w:val="004A3970"/>
    <w:rsid w:val="004A3ED8"/>
    <w:rsid w:val="004A4A98"/>
    <w:rsid w:val="004B02D8"/>
    <w:rsid w:val="004B4F79"/>
    <w:rsid w:val="004C1AF5"/>
    <w:rsid w:val="004C4A61"/>
    <w:rsid w:val="004C4CBE"/>
    <w:rsid w:val="004D333F"/>
    <w:rsid w:val="004D43B6"/>
    <w:rsid w:val="004E5BBA"/>
    <w:rsid w:val="004F044A"/>
    <w:rsid w:val="004F1663"/>
    <w:rsid w:val="004F4C79"/>
    <w:rsid w:val="004F7BC5"/>
    <w:rsid w:val="0050022B"/>
    <w:rsid w:val="0050290D"/>
    <w:rsid w:val="00504688"/>
    <w:rsid w:val="005059B4"/>
    <w:rsid w:val="00510EEC"/>
    <w:rsid w:val="0051287E"/>
    <w:rsid w:val="00513B95"/>
    <w:rsid w:val="00517B13"/>
    <w:rsid w:val="00530595"/>
    <w:rsid w:val="00535BAE"/>
    <w:rsid w:val="005369C1"/>
    <w:rsid w:val="00536ABE"/>
    <w:rsid w:val="0053799C"/>
    <w:rsid w:val="00540BD2"/>
    <w:rsid w:val="00551605"/>
    <w:rsid w:val="005540EB"/>
    <w:rsid w:val="005547B5"/>
    <w:rsid w:val="005564FE"/>
    <w:rsid w:val="00560C51"/>
    <w:rsid w:val="005704C2"/>
    <w:rsid w:val="005728EC"/>
    <w:rsid w:val="00574996"/>
    <w:rsid w:val="00580055"/>
    <w:rsid w:val="0059119D"/>
    <w:rsid w:val="00591F29"/>
    <w:rsid w:val="005929AC"/>
    <w:rsid w:val="005957CE"/>
    <w:rsid w:val="005A27CF"/>
    <w:rsid w:val="005A4D88"/>
    <w:rsid w:val="005A6944"/>
    <w:rsid w:val="005B05DF"/>
    <w:rsid w:val="005B3B4F"/>
    <w:rsid w:val="005B585B"/>
    <w:rsid w:val="005C4CDA"/>
    <w:rsid w:val="005D24D0"/>
    <w:rsid w:val="005D349A"/>
    <w:rsid w:val="005D52F1"/>
    <w:rsid w:val="005E4ACF"/>
    <w:rsid w:val="005E6B86"/>
    <w:rsid w:val="005E7020"/>
    <w:rsid w:val="005F51E7"/>
    <w:rsid w:val="005F64D4"/>
    <w:rsid w:val="005F6F60"/>
    <w:rsid w:val="00601A63"/>
    <w:rsid w:val="006023BB"/>
    <w:rsid w:val="006025F7"/>
    <w:rsid w:val="00603C4E"/>
    <w:rsid w:val="00607B98"/>
    <w:rsid w:val="00624D07"/>
    <w:rsid w:val="00627007"/>
    <w:rsid w:val="0065668E"/>
    <w:rsid w:val="00665CB9"/>
    <w:rsid w:val="00677E9B"/>
    <w:rsid w:val="006805D7"/>
    <w:rsid w:val="006813F9"/>
    <w:rsid w:val="00681539"/>
    <w:rsid w:val="00684588"/>
    <w:rsid w:val="006909E9"/>
    <w:rsid w:val="006919E6"/>
    <w:rsid w:val="006A13E3"/>
    <w:rsid w:val="006D28B5"/>
    <w:rsid w:val="006D7E20"/>
    <w:rsid w:val="006F2A16"/>
    <w:rsid w:val="006F2F13"/>
    <w:rsid w:val="007028A9"/>
    <w:rsid w:val="00707CC5"/>
    <w:rsid w:val="007137D3"/>
    <w:rsid w:val="00713C37"/>
    <w:rsid w:val="00713F13"/>
    <w:rsid w:val="00716D9A"/>
    <w:rsid w:val="00733638"/>
    <w:rsid w:val="007350C6"/>
    <w:rsid w:val="00737F18"/>
    <w:rsid w:val="0074121C"/>
    <w:rsid w:val="00741771"/>
    <w:rsid w:val="00744EC5"/>
    <w:rsid w:val="00745316"/>
    <w:rsid w:val="00757D48"/>
    <w:rsid w:val="0076257A"/>
    <w:rsid w:val="007646C3"/>
    <w:rsid w:val="00766A02"/>
    <w:rsid w:val="00766FD7"/>
    <w:rsid w:val="0077494C"/>
    <w:rsid w:val="00775EB2"/>
    <w:rsid w:val="00777241"/>
    <w:rsid w:val="00785C9A"/>
    <w:rsid w:val="00791761"/>
    <w:rsid w:val="0079489D"/>
    <w:rsid w:val="007A5C64"/>
    <w:rsid w:val="007B4854"/>
    <w:rsid w:val="007C02BE"/>
    <w:rsid w:val="007C3D07"/>
    <w:rsid w:val="007C49B7"/>
    <w:rsid w:val="007D1752"/>
    <w:rsid w:val="007D1E4B"/>
    <w:rsid w:val="007D2919"/>
    <w:rsid w:val="007E12DC"/>
    <w:rsid w:val="007E6C28"/>
    <w:rsid w:val="00801D91"/>
    <w:rsid w:val="00804443"/>
    <w:rsid w:val="008077E5"/>
    <w:rsid w:val="00811752"/>
    <w:rsid w:val="00812B1C"/>
    <w:rsid w:val="008175E6"/>
    <w:rsid w:val="00823835"/>
    <w:rsid w:val="00823BB3"/>
    <w:rsid w:val="00830221"/>
    <w:rsid w:val="00830A99"/>
    <w:rsid w:val="0083420A"/>
    <w:rsid w:val="00835EA1"/>
    <w:rsid w:val="00842265"/>
    <w:rsid w:val="0086319E"/>
    <w:rsid w:val="0087011F"/>
    <w:rsid w:val="00875B20"/>
    <w:rsid w:val="00886780"/>
    <w:rsid w:val="00887535"/>
    <w:rsid w:val="00893ACE"/>
    <w:rsid w:val="008A1DEC"/>
    <w:rsid w:val="008A60AC"/>
    <w:rsid w:val="008C616F"/>
    <w:rsid w:val="008E1865"/>
    <w:rsid w:val="008E787F"/>
    <w:rsid w:val="008F3A66"/>
    <w:rsid w:val="008F700F"/>
    <w:rsid w:val="009071BF"/>
    <w:rsid w:val="00911A5B"/>
    <w:rsid w:val="009172CB"/>
    <w:rsid w:val="00924300"/>
    <w:rsid w:val="0092514A"/>
    <w:rsid w:val="00940006"/>
    <w:rsid w:val="009443B8"/>
    <w:rsid w:val="00944ED9"/>
    <w:rsid w:val="00955114"/>
    <w:rsid w:val="00957092"/>
    <w:rsid w:val="00960BB8"/>
    <w:rsid w:val="009631C7"/>
    <w:rsid w:val="009733D4"/>
    <w:rsid w:val="009743D3"/>
    <w:rsid w:val="00990609"/>
    <w:rsid w:val="0099679A"/>
    <w:rsid w:val="009C1366"/>
    <w:rsid w:val="009C2057"/>
    <w:rsid w:val="009D1749"/>
    <w:rsid w:val="009D6321"/>
    <w:rsid w:val="009D6BCC"/>
    <w:rsid w:val="009D6BD0"/>
    <w:rsid w:val="009F1A4B"/>
    <w:rsid w:val="009F4B41"/>
    <w:rsid w:val="00A17B09"/>
    <w:rsid w:val="00A23D88"/>
    <w:rsid w:val="00A429B5"/>
    <w:rsid w:val="00A4484E"/>
    <w:rsid w:val="00A44D9B"/>
    <w:rsid w:val="00A47467"/>
    <w:rsid w:val="00A52928"/>
    <w:rsid w:val="00A530A5"/>
    <w:rsid w:val="00A60684"/>
    <w:rsid w:val="00A64A6A"/>
    <w:rsid w:val="00A721EA"/>
    <w:rsid w:val="00A7653E"/>
    <w:rsid w:val="00A7737C"/>
    <w:rsid w:val="00A8301E"/>
    <w:rsid w:val="00A8799C"/>
    <w:rsid w:val="00A906C9"/>
    <w:rsid w:val="00A962B0"/>
    <w:rsid w:val="00A9686E"/>
    <w:rsid w:val="00A972F9"/>
    <w:rsid w:val="00AA1B70"/>
    <w:rsid w:val="00AA3577"/>
    <w:rsid w:val="00AA35D0"/>
    <w:rsid w:val="00AA40CB"/>
    <w:rsid w:val="00AA71BE"/>
    <w:rsid w:val="00AA7B97"/>
    <w:rsid w:val="00AB08FB"/>
    <w:rsid w:val="00AB0F7A"/>
    <w:rsid w:val="00AB42B5"/>
    <w:rsid w:val="00AB534F"/>
    <w:rsid w:val="00AC0059"/>
    <w:rsid w:val="00AC544F"/>
    <w:rsid w:val="00AD26BA"/>
    <w:rsid w:val="00AE0F67"/>
    <w:rsid w:val="00AE68DE"/>
    <w:rsid w:val="00AE7143"/>
    <w:rsid w:val="00B00AFC"/>
    <w:rsid w:val="00B02E51"/>
    <w:rsid w:val="00B02E9D"/>
    <w:rsid w:val="00B10BB8"/>
    <w:rsid w:val="00B1527E"/>
    <w:rsid w:val="00B16789"/>
    <w:rsid w:val="00B2634F"/>
    <w:rsid w:val="00B27A31"/>
    <w:rsid w:val="00B3148A"/>
    <w:rsid w:val="00B42EA1"/>
    <w:rsid w:val="00B474BA"/>
    <w:rsid w:val="00B60589"/>
    <w:rsid w:val="00B7322A"/>
    <w:rsid w:val="00B732EF"/>
    <w:rsid w:val="00B853EE"/>
    <w:rsid w:val="00B91E9F"/>
    <w:rsid w:val="00BA0C75"/>
    <w:rsid w:val="00BB6490"/>
    <w:rsid w:val="00BC26A1"/>
    <w:rsid w:val="00BC3E8C"/>
    <w:rsid w:val="00BE6F8E"/>
    <w:rsid w:val="00BF0D43"/>
    <w:rsid w:val="00BF2B18"/>
    <w:rsid w:val="00BF5DCA"/>
    <w:rsid w:val="00C131F2"/>
    <w:rsid w:val="00C15CEF"/>
    <w:rsid w:val="00C4033F"/>
    <w:rsid w:val="00C4504E"/>
    <w:rsid w:val="00C605E8"/>
    <w:rsid w:val="00C63C26"/>
    <w:rsid w:val="00C71030"/>
    <w:rsid w:val="00C7110D"/>
    <w:rsid w:val="00C71434"/>
    <w:rsid w:val="00C82287"/>
    <w:rsid w:val="00C915C9"/>
    <w:rsid w:val="00CA4AA8"/>
    <w:rsid w:val="00CA4E22"/>
    <w:rsid w:val="00CB3A03"/>
    <w:rsid w:val="00CB4BB8"/>
    <w:rsid w:val="00CB5134"/>
    <w:rsid w:val="00CC0E89"/>
    <w:rsid w:val="00CD2D60"/>
    <w:rsid w:val="00CD3AD8"/>
    <w:rsid w:val="00CE024E"/>
    <w:rsid w:val="00CE2F74"/>
    <w:rsid w:val="00D04A26"/>
    <w:rsid w:val="00D1199D"/>
    <w:rsid w:val="00D17CD4"/>
    <w:rsid w:val="00D2069F"/>
    <w:rsid w:val="00D24AE9"/>
    <w:rsid w:val="00D3150F"/>
    <w:rsid w:val="00D35652"/>
    <w:rsid w:val="00D46A49"/>
    <w:rsid w:val="00D502BE"/>
    <w:rsid w:val="00D519E3"/>
    <w:rsid w:val="00D54035"/>
    <w:rsid w:val="00D57431"/>
    <w:rsid w:val="00D72311"/>
    <w:rsid w:val="00D728EE"/>
    <w:rsid w:val="00D824AF"/>
    <w:rsid w:val="00D92A1E"/>
    <w:rsid w:val="00D976D0"/>
    <w:rsid w:val="00DA1110"/>
    <w:rsid w:val="00DA47A0"/>
    <w:rsid w:val="00DA5CCD"/>
    <w:rsid w:val="00DB072E"/>
    <w:rsid w:val="00DB78F0"/>
    <w:rsid w:val="00DC19F5"/>
    <w:rsid w:val="00DC30E4"/>
    <w:rsid w:val="00DC3F63"/>
    <w:rsid w:val="00DD0AB2"/>
    <w:rsid w:val="00DD5400"/>
    <w:rsid w:val="00DD77A1"/>
    <w:rsid w:val="00DD7F4A"/>
    <w:rsid w:val="00DE3391"/>
    <w:rsid w:val="00DF13F0"/>
    <w:rsid w:val="00DF7159"/>
    <w:rsid w:val="00E01350"/>
    <w:rsid w:val="00E1046F"/>
    <w:rsid w:val="00E114C2"/>
    <w:rsid w:val="00E25D77"/>
    <w:rsid w:val="00E27FAD"/>
    <w:rsid w:val="00E4095F"/>
    <w:rsid w:val="00E42A08"/>
    <w:rsid w:val="00E45A14"/>
    <w:rsid w:val="00E46894"/>
    <w:rsid w:val="00E46BF9"/>
    <w:rsid w:val="00E5051A"/>
    <w:rsid w:val="00E62841"/>
    <w:rsid w:val="00E666D3"/>
    <w:rsid w:val="00E80E4B"/>
    <w:rsid w:val="00E83DA4"/>
    <w:rsid w:val="00E91C72"/>
    <w:rsid w:val="00E92E7F"/>
    <w:rsid w:val="00E936E8"/>
    <w:rsid w:val="00E93704"/>
    <w:rsid w:val="00E941B4"/>
    <w:rsid w:val="00EA3FD9"/>
    <w:rsid w:val="00EC17CC"/>
    <w:rsid w:val="00EC33AD"/>
    <w:rsid w:val="00EE7126"/>
    <w:rsid w:val="00EF173F"/>
    <w:rsid w:val="00EF20AF"/>
    <w:rsid w:val="00EF54AB"/>
    <w:rsid w:val="00F14AF4"/>
    <w:rsid w:val="00F216E5"/>
    <w:rsid w:val="00F26B8D"/>
    <w:rsid w:val="00F422FF"/>
    <w:rsid w:val="00F45D77"/>
    <w:rsid w:val="00F50947"/>
    <w:rsid w:val="00F55B92"/>
    <w:rsid w:val="00F56547"/>
    <w:rsid w:val="00F60502"/>
    <w:rsid w:val="00F6603F"/>
    <w:rsid w:val="00F70946"/>
    <w:rsid w:val="00F8124F"/>
    <w:rsid w:val="00FB396B"/>
    <w:rsid w:val="00FE22BC"/>
    <w:rsid w:val="00FE6C97"/>
    <w:rsid w:val="00FE72C1"/>
    <w:rsid w:val="00FE7C05"/>
    <w:rsid w:val="00FF0131"/>
    <w:rsid w:val="00FF12DD"/>
    <w:rsid w:val="00FF1E0B"/>
    <w:rsid w:val="00FF23BD"/>
    <w:rsid w:val="00FF2A0B"/>
    <w:rsid w:val="00FF4320"/>
    <w:rsid w:val="00FF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71C94BFC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D43B6"/>
    <w:pPr>
      <w:keepNext/>
      <w:widowControl w:val="0"/>
      <w:numPr>
        <w:numId w:val="35"/>
      </w:numPr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D92A1E"/>
    <w:pPr>
      <w:keepNext/>
      <w:outlineLvl w:val="2"/>
    </w:pPr>
    <w:rPr>
      <w:rFonts w:ascii="Tahoma" w:hAnsi="Tahoma" w:cs="Tahoma"/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D92A1E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2Char">
    <w:name w:val="Nadpis 2 Char"/>
    <w:link w:val="Nadpis2"/>
    <w:rsid w:val="004D43B6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911A5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11A5B"/>
    <w:rPr>
      <w:sz w:val="24"/>
      <w:szCs w:val="24"/>
    </w:rPr>
  </w:style>
  <w:style w:type="paragraph" w:styleId="Seznamsodrkami">
    <w:name w:val="List Bullet"/>
    <w:basedOn w:val="Normln"/>
    <w:uiPriority w:val="99"/>
    <w:unhideWhenUsed/>
    <w:rsid w:val="002F6CFB"/>
    <w:pPr>
      <w:numPr>
        <w:numId w:val="20"/>
      </w:numPr>
      <w:contextualSpacing/>
    </w:p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EF173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39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1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4179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6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3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8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7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79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31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64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1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16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0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823B7-535F-4085-B9D6-BE3C071D8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5680</TotalTime>
  <Pages>3</Pages>
  <Words>784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138</cp:revision>
  <cp:lastPrinted>2024-10-25T05:58:00Z</cp:lastPrinted>
  <dcterms:created xsi:type="dcterms:W3CDTF">2017-11-21T12:56:00Z</dcterms:created>
  <dcterms:modified xsi:type="dcterms:W3CDTF">2024-10-31T07:33:00Z</dcterms:modified>
</cp:coreProperties>
</file>