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76" w:rsidRDefault="004E5076" w:rsidP="004E5076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B56E9E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</w:t>
      </w:r>
      <w:r w:rsidR="00483B8F">
        <w:rPr>
          <w:rFonts w:cs="Tahoma"/>
          <w:sz w:val="24"/>
          <w:szCs w:val="24"/>
        </w:rPr>
        <w:t>3</w:t>
      </w:r>
      <w:r w:rsidR="00D11BC8" w:rsidRPr="005E0400">
        <w:rPr>
          <w:rFonts w:cs="Tahoma"/>
          <w:sz w:val="24"/>
          <w:szCs w:val="24"/>
        </w:rPr>
        <w:t>/</w:t>
      </w:r>
      <w:r w:rsidR="006D35C0">
        <w:rPr>
          <w:rFonts w:cs="Tahoma"/>
          <w:sz w:val="24"/>
          <w:szCs w:val="24"/>
        </w:rPr>
        <w:t>07</w:t>
      </w:r>
      <w:r>
        <w:rPr>
          <w:rFonts w:cs="Tahoma"/>
          <w:sz w:val="24"/>
          <w:szCs w:val="24"/>
        </w:rPr>
        <w:t xml:space="preserve"> </w:t>
      </w:r>
      <w:r w:rsidR="00D11BC8">
        <w:rPr>
          <w:rFonts w:cs="Tahoma"/>
          <w:sz w:val="24"/>
          <w:szCs w:val="24"/>
        </w:rPr>
        <w:t>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9325B8" w:rsidRPr="00CA6822" w:rsidRDefault="00483B8F" w:rsidP="009325B8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 o výjimku nočního klidu</w:t>
      </w:r>
      <w:r w:rsidR="009325B8" w:rsidRPr="00CA6822">
        <w:rPr>
          <w:rFonts w:cs="Tahoma"/>
          <w:b/>
          <w:sz w:val="24"/>
          <w:u w:val="single"/>
        </w:rPr>
        <w:t xml:space="preserve"> </w:t>
      </w:r>
    </w:p>
    <w:p w:rsidR="009325B8" w:rsidRDefault="009325B8" w:rsidP="009325B8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 w:rsidRPr="00EA42B2">
        <w:rPr>
          <w:rFonts w:cs="Tahoma"/>
          <w:b/>
          <w:sz w:val="24"/>
          <w:u w:val="single"/>
        </w:rPr>
        <w:t>Individuální d</w:t>
      </w:r>
      <w:r w:rsidR="00483B8F">
        <w:rPr>
          <w:rFonts w:cs="Tahoma"/>
          <w:b/>
          <w:sz w:val="24"/>
          <w:u w:val="single"/>
        </w:rPr>
        <w:t xml:space="preserve">otace – HC </w:t>
      </w:r>
      <w:proofErr w:type="gramStart"/>
      <w:r w:rsidR="00483B8F">
        <w:rPr>
          <w:rFonts w:cs="Tahoma"/>
          <w:b/>
          <w:sz w:val="24"/>
          <w:u w:val="single"/>
        </w:rPr>
        <w:t>Strakonice, z. s.</w:t>
      </w:r>
      <w:proofErr w:type="gramEnd"/>
    </w:p>
    <w:p w:rsidR="00483B8F" w:rsidRDefault="00483B8F" w:rsidP="009325B8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kolektivního vrcholového a výkonnostního sportu dospělých na sezonu 2025-2026</w:t>
      </w:r>
    </w:p>
    <w:p w:rsidR="00BE4B75" w:rsidRDefault="00BE4B75" w:rsidP="009325B8">
      <w:pPr>
        <w:pStyle w:val="Odstavecseseznamem"/>
        <w:numPr>
          <w:ilvl w:val="0"/>
          <w:numId w:val="17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Tělovýchovná jednota </w:t>
      </w:r>
      <w:proofErr w:type="spellStart"/>
      <w:r>
        <w:rPr>
          <w:rFonts w:cs="Tahoma"/>
          <w:b/>
          <w:sz w:val="24"/>
          <w:u w:val="single"/>
        </w:rPr>
        <w:t>Fezko</w:t>
      </w:r>
      <w:proofErr w:type="spellEnd"/>
      <w:r>
        <w:rPr>
          <w:rFonts w:cs="Tahoma"/>
          <w:b/>
          <w:sz w:val="24"/>
          <w:u w:val="single"/>
        </w:rPr>
        <w:t xml:space="preserve">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FE429E" w:rsidRPr="00FE429E" w:rsidRDefault="00FE429E" w:rsidP="00FE429E"/>
    <w:p w:rsidR="006E3540" w:rsidRDefault="006E3540" w:rsidP="001D12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483B8F">
        <w:rPr>
          <w:rFonts w:cs="Tahoma"/>
          <w:szCs w:val="20"/>
        </w:rPr>
        <w:t>11</w:t>
      </w:r>
      <w:r>
        <w:rPr>
          <w:rFonts w:cs="Tahoma"/>
          <w:szCs w:val="20"/>
        </w:rPr>
        <w:t xml:space="preserve">. </w:t>
      </w:r>
      <w:r w:rsidR="00483B8F">
        <w:rPr>
          <w:rFonts w:cs="Tahoma"/>
          <w:szCs w:val="20"/>
        </w:rPr>
        <w:t>září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E8586C">
        <w:rPr>
          <w:rFonts w:cs="Tahoma"/>
          <w:szCs w:val="20"/>
        </w:rPr>
        <w:t>4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lastRenderedPageBreak/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D823FE">
        <w:rPr>
          <w:rFonts w:cs="Tahoma"/>
          <w:szCs w:val="20"/>
        </w:rPr>
        <w:t xml:space="preserve">odboru </w:t>
      </w:r>
    </w:p>
    <w:p w:rsidR="004E5076" w:rsidRDefault="004E5076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E5076" w:rsidRDefault="004E5076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D3E0B" w:rsidRPr="002C2325" w:rsidRDefault="00483B8F" w:rsidP="006D3E0B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Žádost o výjimku nočního klidu</w:t>
      </w:r>
      <w:r w:rsidR="006D3E0B" w:rsidRPr="0070583C">
        <w:t xml:space="preserve"> </w:t>
      </w:r>
    </w:p>
    <w:p w:rsidR="006D3E0B" w:rsidRPr="008F1DD7" w:rsidRDefault="006D3E0B" w:rsidP="006D3E0B">
      <w:pPr>
        <w:jc w:val="both"/>
        <w:rPr>
          <w:rFonts w:cs="Tahoma"/>
          <w:szCs w:val="20"/>
        </w:rPr>
      </w:pPr>
    </w:p>
    <w:p w:rsidR="006D3E0B" w:rsidRPr="008F1DD7" w:rsidRDefault="006D3E0B" w:rsidP="006D3E0B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6D3E0B" w:rsidRPr="000662E9" w:rsidRDefault="004776EB" w:rsidP="006D3E0B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D3E0B" w:rsidRPr="000662E9">
        <w:rPr>
          <w:rFonts w:cs="Tahoma"/>
          <w:szCs w:val="20"/>
        </w:rPr>
        <w:t>M po projednání</w:t>
      </w:r>
    </w:p>
    <w:p w:rsidR="006D3E0B" w:rsidRDefault="006D3E0B" w:rsidP="006D3E0B">
      <w:pPr>
        <w:rPr>
          <w:rFonts w:cs="Tahoma"/>
          <w:szCs w:val="20"/>
        </w:rPr>
      </w:pPr>
    </w:p>
    <w:p w:rsidR="00483B8F" w:rsidRDefault="00483B8F" w:rsidP="00483B8F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Neschvaluje</w:t>
      </w:r>
    </w:p>
    <w:p w:rsidR="00483B8F" w:rsidRDefault="00483B8F" w:rsidP="00483B8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změnu Obecně závazné vyhlášky města Strakonice č. 3/2024 o nočním klidu spočívající v zařazení charitativního koncertu pro nadaci Srdce pro Strakonice, který se koná 14. – 15. 9. do 02:00 hodin do čl. 3 této obecně závazné vyhlášky – Stanovení výjimečných případů, při nichž nemusí být doba nočního klidu dodržována nebo při nichž je doba nočního klidu vymezena dobou kratší.</w:t>
      </w:r>
    </w:p>
    <w:p w:rsidR="00483B8F" w:rsidRDefault="00483B8F" w:rsidP="00483B8F">
      <w:pPr>
        <w:jc w:val="both"/>
        <w:rPr>
          <w:rFonts w:cs="Tahoma"/>
          <w:szCs w:val="20"/>
        </w:rPr>
      </w:pPr>
    </w:p>
    <w:p w:rsidR="006D3E0B" w:rsidRDefault="006D3E0B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F3EFF" w:rsidRPr="002C2325" w:rsidRDefault="00CF3EFF" w:rsidP="00CF3EFF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Individuální dotace – </w:t>
      </w:r>
      <w:r w:rsidR="00BE4B75">
        <w:rPr>
          <w:rFonts w:cs="Tahoma"/>
          <w:b/>
          <w:bCs/>
          <w:sz w:val="24"/>
          <w:u w:val="single"/>
        </w:rPr>
        <w:t xml:space="preserve">HC Strakonice, z. </w:t>
      </w:r>
      <w:proofErr w:type="gramStart"/>
      <w:r w:rsidR="00BE4B75">
        <w:rPr>
          <w:rFonts w:cs="Tahoma"/>
          <w:b/>
          <w:bCs/>
          <w:sz w:val="24"/>
          <w:u w:val="single"/>
        </w:rPr>
        <w:t>s.</w:t>
      </w:r>
      <w:proofErr w:type="gramEnd"/>
      <w:r>
        <w:rPr>
          <w:rFonts w:cs="Tahoma"/>
          <w:b/>
          <w:bCs/>
          <w:sz w:val="24"/>
          <w:u w:val="single"/>
        </w:rPr>
        <w:t xml:space="preserve"> </w:t>
      </w:r>
      <w:r w:rsidRPr="0070583C">
        <w:t xml:space="preserve"> </w:t>
      </w:r>
    </w:p>
    <w:p w:rsidR="00CF3EFF" w:rsidRPr="008F1DD7" w:rsidRDefault="00CF3EFF" w:rsidP="00CF3EFF">
      <w:pPr>
        <w:jc w:val="both"/>
        <w:rPr>
          <w:rFonts w:cs="Tahoma"/>
          <w:szCs w:val="20"/>
        </w:rPr>
      </w:pPr>
    </w:p>
    <w:p w:rsidR="00F374B0" w:rsidRPr="00BB4E1B" w:rsidRDefault="00F374B0" w:rsidP="00F374B0">
      <w:pPr>
        <w:jc w:val="both"/>
        <w:rPr>
          <w:rFonts w:cs="Tahoma"/>
          <w:szCs w:val="20"/>
        </w:rPr>
      </w:pPr>
      <w:r w:rsidRPr="00BB4E1B">
        <w:rPr>
          <w:rFonts w:cs="Tahoma"/>
          <w:b/>
          <w:szCs w:val="20"/>
        </w:rPr>
        <w:t>Návrh usnesení:</w:t>
      </w:r>
    </w:p>
    <w:p w:rsidR="00F374B0" w:rsidRPr="00BB4E1B" w:rsidRDefault="00F374B0" w:rsidP="00F374B0">
      <w:pPr>
        <w:rPr>
          <w:rFonts w:cs="Tahoma"/>
          <w:szCs w:val="20"/>
        </w:rPr>
      </w:pPr>
      <w:r w:rsidRPr="00BB4E1B">
        <w:rPr>
          <w:rFonts w:cs="Tahoma"/>
          <w:szCs w:val="20"/>
        </w:rPr>
        <w:t>RM po projednání</w:t>
      </w:r>
    </w:p>
    <w:p w:rsidR="00F374B0" w:rsidRPr="00BB4E1B" w:rsidRDefault="00F374B0" w:rsidP="00F374B0">
      <w:pPr>
        <w:jc w:val="both"/>
        <w:rPr>
          <w:rFonts w:cs="Tahoma"/>
          <w:color w:val="FF0000"/>
          <w:szCs w:val="20"/>
        </w:rPr>
      </w:pPr>
    </w:p>
    <w:p w:rsidR="00F374B0" w:rsidRPr="00BB4E1B" w:rsidRDefault="00F374B0" w:rsidP="00F374B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BB4E1B">
        <w:rPr>
          <w:rFonts w:cs="Tahoma"/>
          <w:b/>
          <w:bCs/>
          <w:szCs w:val="20"/>
          <w:u w:val="single"/>
        </w:rPr>
        <w:t xml:space="preserve">I. </w:t>
      </w:r>
      <w:r w:rsidR="00732AEC">
        <w:rPr>
          <w:rFonts w:cs="Tahoma"/>
          <w:b/>
          <w:bCs/>
          <w:szCs w:val="20"/>
          <w:u w:val="single"/>
        </w:rPr>
        <w:t>Neschvaluje</w:t>
      </w:r>
    </w:p>
    <w:p w:rsidR="00F374B0" w:rsidRPr="00BB4E1B" w:rsidRDefault="00F374B0" w:rsidP="00F374B0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HC Strakonice, z. </w:t>
      </w:r>
      <w:proofErr w:type="gramStart"/>
      <w:r w:rsidRPr="00BB4E1B">
        <w:rPr>
          <w:rFonts w:cs="Tahoma"/>
          <w:szCs w:val="20"/>
        </w:rPr>
        <w:t>s.</w:t>
      </w:r>
      <w:proofErr w:type="gramEnd"/>
      <w:r w:rsidRPr="00BB4E1B">
        <w:rPr>
          <w:rFonts w:cs="Tahoma"/>
          <w:szCs w:val="20"/>
        </w:rPr>
        <w:t xml:space="preserve">, Na </w:t>
      </w:r>
      <w:proofErr w:type="spellStart"/>
      <w:r w:rsidRPr="00BB4E1B">
        <w:rPr>
          <w:rFonts w:cs="Tahoma"/>
          <w:szCs w:val="20"/>
        </w:rPr>
        <w:t>Křemelce</w:t>
      </w:r>
      <w:proofErr w:type="spellEnd"/>
      <w:r w:rsidRPr="00BB4E1B">
        <w:rPr>
          <w:rFonts w:cs="Tahoma"/>
          <w:szCs w:val="20"/>
        </w:rPr>
        <w:t xml:space="preserve"> 512, 386 01 Strakonice, </w:t>
      </w:r>
      <w:r w:rsidRPr="00BB4E1B">
        <w:rPr>
          <w:rFonts w:cs="Tahoma"/>
          <w:szCs w:val="20"/>
        </w:rPr>
        <w:br/>
        <w:t xml:space="preserve">IČO 46687769 ve výši 400.000 Kč na podporu sportovní činnosti dospělých z důvodu nedostatku finančních prostředků na kapitole č. 215 (individuální dotace).  </w:t>
      </w:r>
    </w:p>
    <w:p w:rsidR="00F374B0" w:rsidRPr="00BB4E1B" w:rsidRDefault="00F374B0" w:rsidP="00F374B0">
      <w:pPr>
        <w:jc w:val="both"/>
        <w:rPr>
          <w:rFonts w:cs="Tahoma"/>
          <w:szCs w:val="20"/>
        </w:rPr>
      </w:pPr>
    </w:p>
    <w:p w:rsidR="00F374B0" w:rsidRDefault="00F374B0" w:rsidP="00F80FBE">
      <w:pPr>
        <w:jc w:val="both"/>
        <w:rPr>
          <w:rFonts w:cs="Tahoma"/>
          <w:b/>
          <w:szCs w:val="20"/>
        </w:rPr>
      </w:pPr>
    </w:p>
    <w:p w:rsidR="00A95ACB" w:rsidRDefault="00A95ACB" w:rsidP="00A95ACB">
      <w:pPr>
        <w:pStyle w:val="Nadpis2"/>
        <w:numPr>
          <w:ilvl w:val="0"/>
          <w:numId w:val="2"/>
        </w:numPr>
      </w:pPr>
      <w:r>
        <w:t>Vyhlášení Dotačního programu města Strakonice na podporu kolektivního vrcholového a výkonnostního sportu dospělých na sezonu 2025-2026</w:t>
      </w:r>
    </w:p>
    <w:p w:rsidR="00A95ACB" w:rsidRDefault="00A95ACB" w:rsidP="00A95ACB"/>
    <w:p w:rsidR="00A95ACB" w:rsidRPr="00DC14E0" w:rsidRDefault="00A95ACB" w:rsidP="00A95ACB">
      <w:pPr>
        <w:jc w:val="both"/>
        <w:rPr>
          <w:rFonts w:cs="Tahoma"/>
          <w:szCs w:val="20"/>
        </w:rPr>
      </w:pPr>
      <w:r w:rsidRPr="00DC14E0">
        <w:rPr>
          <w:rFonts w:cs="Tahoma"/>
          <w:b/>
          <w:szCs w:val="20"/>
        </w:rPr>
        <w:t>Návrh usnesení:</w:t>
      </w:r>
    </w:p>
    <w:p w:rsidR="00A95ACB" w:rsidRPr="00DC14E0" w:rsidRDefault="00A95ACB" w:rsidP="00A95ACB">
      <w:pPr>
        <w:rPr>
          <w:rFonts w:cs="Tahoma"/>
          <w:szCs w:val="20"/>
        </w:rPr>
      </w:pPr>
      <w:r w:rsidRPr="00DC14E0">
        <w:rPr>
          <w:rFonts w:cs="Tahoma"/>
          <w:szCs w:val="20"/>
        </w:rPr>
        <w:t>RM po projednání</w:t>
      </w:r>
    </w:p>
    <w:p w:rsidR="00A95ACB" w:rsidRPr="00DC14E0" w:rsidRDefault="00A95ACB" w:rsidP="00A95ACB">
      <w:pPr>
        <w:jc w:val="both"/>
        <w:rPr>
          <w:rFonts w:cs="Tahoma"/>
          <w:szCs w:val="20"/>
        </w:rPr>
      </w:pPr>
    </w:p>
    <w:p w:rsidR="00A95ACB" w:rsidRPr="00DC14E0" w:rsidRDefault="00A95ACB" w:rsidP="00A95AC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DC14E0">
        <w:rPr>
          <w:rFonts w:cs="Tahoma"/>
          <w:b/>
          <w:bCs/>
          <w:szCs w:val="20"/>
          <w:u w:val="single"/>
        </w:rPr>
        <w:t xml:space="preserve">I. </w:t>
      </w:r>
      <w:r w:rsidR="00B76CE8">
        <w:rPr>
          <w:rFonts w:cs="Tahoma"/>
          <w:b/>
          <w:bCs/>
          <w:szCs w:val="20"/>
          <w:u w:val="single"/>
        </w:rPr>
        <w:t>Schvaluje</w:t>
      </w:r>
    </w:p>
    <w:p w:rsidR="00A95ACB" w:rsidRDefault="00A95ACB" w:rsidP="00A95AC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zařazení finančních prostředků ve výši 3.000.000 Kč do rozpočtu města Strakonice pro rok 2025 na Dotační program města Strakonice na podporu kolektivního vrcholového a výkonnostního sportu dospělých na sezonu 2025-2026, který byl vypracován komisí pro sport a volnočasové aktivity na základě usnesení RM č. 2271/2024 ze dne 12. 06. 2024.</w:t>
      </w:r>
    </w:p>
    <w:p w:rsidR="00A95ACB" w:rsidRPr="002D0421" w:rsidRDefault="00A95ACB" w:rsidP="00A95ACB">
      <w:pPr>
        <w:pStyle w:val="Nadpis3"/>
        <w:jc w:val="both"/>
        <w:rPr>
          <w:rFonts w:cs="Tahoma"/>
          <w:szCs w:val="20"/>
        </w:rPr>
      </w:pPr>
      <w:r w:rsidRPr="002D0421">
        <w:rPr>
          <w:rFonts w:cs="Tahoma"/>
          <w:szCs w:val="20"/>
        </w:rPr>
        <w:t xml:space="preserve">II. </w:t>
      </w:r>
      <w:r w:rsidR="00B76CE8">
        <w:rPr>
          <w:rFonts w:cs="Tahoma"/>
          <w:szCs w:val="20"/>
        </w:rPr>
        <w:t>Schvaluje</w:t>
      </w:r>
    </w:p>
    <w:p w:rsidR="00A95ACB" w:rsidRDefault="00A95ACB" w:rsidP="00A95AC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vyhlášení Dotačního programu města Strakonice na podporu kolektivního vrcholového a výkonnostního sportu dospělých na sezonu 2025-2026.</w:t>
      </w:r>
      <w:r w:rsidRPr="00DC14E0">
        <w:rPr>
          <w:rFonts w:cs="Tahoma"/>
          <w:szCs w:val="20"/>
        </w:rPr>
        <w:t xml:space="preserve"> </w:t>
      </w:r>
    </w:p>
    <w:p w:rsidR="00A95ACB" w:rsidRPr="00C02D06" w:rsidRDefault="00A95ACB" w:rsidP="00A95ACB">
      <w:pPr>
        <w:jc w:val="both"/>
        <w:rPr>
          <w:rFonts w:cs="Tahoma"/>
          <w:szCs w:val="20"/>
        </w:rPr>
      </w:pPr>
    </w:p>
    <w:p w:rsidR="00A95ACB" w:rsidRDefault="00A95ACB" w:rsidP="00F80FBE">
      <w:pPr>
        <w:jc w:val="both"/>
        <w:rPr>
          <w:rFonts w:cs="Tahoma"/>
          <w:b/>
          <w:szCs w:val="20"/>
        </w:rPr>
      </w:pPr>
    </w:p>
    <w:p w:rsidR="0075252F" w:rsidRDefault="0075252F" w:rsidP="0075252F">
      <w:pPr>
        <w:pStyle w:val="Nadpis2"/>
        <w:numPr>
          <w:ilvl w:val="0"/>
          <w:numId w:val="2"/>
        </w:numPr>
      </w:pPr>
      <w:r>
        <w:t xml:space="preserve">Individuální dotace – Tělovýchovná jednota </w:t>
      </w:r>
      <w:proofErr w:type="spellStart"/>
      <w:r>
        <w:t>Fezko</w:t>
      </w:r>
      <w:proofErr w:type="spellEnd"/>
      <w:r>
        <w:t xml:space="preserve"> </w:t>
      </w:r>
      <w:proofErr w:type="gramStart"/>
      <w:r>
        <w:t>Strakonice, z. s.</w:t>
      </w:r>
      <w:proofErr w:type="gramEnd"/>
    </w:p>
    <w:p w:rsidR="0075252F" w:rsidRDefault="0075252F" w:rsidP="0075252F"/>
    <w:p w:rsidR="0075252F" w:rsidRPr="00BB4E1B" w:rsidRDefault="0075252F" w:rsidP="0075252F">
      <w:pPr>
        <w:jc w:val="both"/>
        <w:rPr>
          <w:rFonts w:cs="Tahoma"/>
          <w:szCs w:val="20"/>
        </w:rPr>
      </w:pPr>
      <w:r w:rsidRPr="00BB4E1B">
        <w:rPr>
          <w:rFonts w:cs="Tahoma"/>
          <w:b/>
          <w:szCs w:val="20"/>
        </w:rPr>
        <w:t>Návrh usnesení:</w:t>
      </w:r>
    </w:p>
    <w:p w:rsidR="0075252F" w:rsidRPr="00BB4E1B" w:rsidRDefault="0075252F" w:rsidP="0075252F">
      <w:pPr>
        <w:rPr>
          <w:rFonts w:cs="Tahoma"/>
          <w:szCs w:val="20"/>
        </w:rPr>
      </w:pPr>
      <w:r w:rsidRPr="00BB4E1B">
        <w:rPr>
          <w:rFonts w:cs="Tahoma"/>
          <w:szCs w:val="20"/>
        </w:rPr>
        <w:t>RM po projednání</w:t>
      </w:r>
    </w:p>
    <w:p w:rsidR="0075252F" w:rsidRPr="00BB4E1B" w:rsidRDefault="0075252F" w:rsidP="0075252F">
      <w:pPr>
        <w:jc w:val="both"/>
        <w:rPr>
          <w:rFonts w:cs="Tahoma"/>
          <w:color w:val="FF0000"/>
          <w:szCs w:val="20"/>
        </w:rPr>
      </w:pPr>
    </w:p>
    <w:p w:rsidR="0075252F" w:rsidRPr="00BB4E1B" w:rsidRDefault="0075252F" w:rsidP="0075252F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BB4E1B">
        <w:rPr>
          <w:rFonts w:cs="Tahoma"/>
          <w:b/>
          <w:bCs/>
          <w:szCs w:val="20"/>
          <w:u w:val="single"/>
        </w:rPr>
        <w:t xml:space="preserve">I. </w:t>
      </w:r>
      <w:r w:rsidR="00755C4F">
        <w:rPr>
          <w:rFonts w:cs="Tahoma"/>
          <w:b/>
          <w:bCs/>
          <w:szCs w:val="20"/>
          <w:u w:val="single"/>
        </w:rPr>
        <w:t>Neschvaluje</w:t>
      </w:r>
    </w:p>
    <w:p w:rsidR="0075252F" w:rsidRPr="00BB4E1B" w:rsidRDefault="0075252F" w:rsidP="0075252F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Tělovýchovné jednotě </w:t>
      </w:r>
      <w:proofErr w:type="spellStart"/>
      <w:r>
        <w:rPr>
          <w:rFonts w:cs="Tahoma"/>
          <w:szCs w:val="20"/>
        </w:rPr>
        <w:t>Fezko</w:t>
      </w:r>
      <w:proofErr w:type="spellEnd"/>
      <w:r w:rsidRPr="00BB4E1B">
        <w:rPr>
          <w:rFonts w:cs="Tahoma"/>
          <w:szCs w:val="20"/>
        </w:rPr>
        <w:t xml:space="preserve"> Strakonice, z. </w:t>
      </w:r>
      <w:proofErr w:type="gramStart"/>
      <w:r w:rsidRPr="00BB4E1B">
        <w:rPr>
          <w:rFonts w:cs="Tahoma"/>
          <w:szCs w:val="20"/>
        </w:rPr>
        <w:t>s.</w:t>
      </w:r>
      <w:proofErr w:type="gramEnd"/>
      <w:r w:rsidRPr="00BB4E1B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Pod Hradem 128</w:t>
      </w:r>
      <w:r w:rsidRPr="00BB4E1B">
        <w:rPr>
          <w:rFonts w:cs="Tahoma"/>
          <w:szCs w:val="20"/>
        </w:rPr>
        <w:t xml:space="preserve">, 386 01 Strakonice, IČO </w:t>
      </w:r>
      <w:r>
        <w:rPr>
          <w:rFonts w:cs="Tahoma"/>
          <w:szCs w:val="20"/>
        </w:rPr>
        <w:t>16820088</w:t>
      </w:r>
      <w:r w:rsidRPr="00BB4E1B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2.0</w:t>
      </w:r>
      <w:r w:rsidRPr="00BB4E1B">
        <w:rPr>
          <w:rFonts w:cs="Tahoma"/>
          <w:szCs w:val="20"/>
        </w:rPr>
        <w:t>00.000 Kč na podporu sportovní činnosti dospělých</w:t>
      </w:r>
      <w:r>
        <w:rPr>
          <w:rFonts w:cs="Tahoma"/>
          <w:szCs w:val="20"/>
        </w:rPr>
        <w:t xml:space="preserve"> ve vodním pólu pro sezonu 2024/2025</w:t>
      </w:r>
      <w:r w:rsidRPr="00BB4E1B">
        <w:rPr>
          <w:rFonts w:cs="Tahoma"/>
          <w:szCs w:val="20"/>
        </w:rPr>
        <w:t xml:space="preserve"> z důvodu nedostatku finančních prostředků na kapitole č. 215 (individuální dotace).  </w:t>
      </w:r>
    </w:p>
    <w:p w:rsidR="0075252F" w:rsidRDefault="0075252F" w:rsidP="00F80FBE">
      <w:pPr>
        <w:jc w:val="both"/>
        <w:rPr>
          <w:rFonts w:cs="Tahoma"/>
          <w:b/>
          <w:szCs w:val="20"/>
        </w:rPr>
      </w:pPr>
      <w:bookmarkStart w:id="0" w:name="_GoBack"/>
      <w:bookmarkEnd w:id="0"/>
    </w:p>
    <w:sectPr w:rsidR="00752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42D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0A7"/>
    <w:multiLevelType w:val="hybridMultilevel"/>
    <w:tmpl w:val="86CCDDDA"/>
    <w:lvl w:ilvl="0" w:tplc="3576472E">
      <w:start w:val="3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E394A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53E6F"/>
    <w:multiLevelType w:val="hybridMultilevel"/>
    <w:tmpl w:val="B7F4ABAE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12D78"/>
    <w:multiLevelType w:val="hybridMultilevel"/>
    <w:tmpl w:val="1E60B90A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6C1B2112"/>
    <w:multiLevelType w:val="hybridMultilevel"/>
    <w:tmpl w:val="AE36DD6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6"/>
  </w:num>
  <w:num w:numId="3">
    <w:abstractNumId w:val="18"/>
  </w:num>
  <w:num w:numId="4">
    <w:abstractNumId w:val="5"/>
  </w:num>
  <w:num w:numId="5">
    <w:abstractNumId w:val="7"/>
  </w:num>
  <w:num w:numId="6">
    <w:abstractNumId w:val="3"/>
  </w:num>
  <w:num w:numId="7">
    <w:abstractNumId w:val="12"/>
  </w:num>
  <w:num w:numId="8">
    <w:abstractNumId w:val="20"/>
  </w:num>
  <w:num w:numId="9">
    <w:abstractNumId w:val="17"/>
  </w:num>
  <w:num w:numId="10">
    <w:abstractNumId w:val="9"/>
  </w:num>
  <w:num w:numId="11">
    <w:abstractNumId w:val="0"/>
  </w:num>
  <w:num w:numId="12">
    <w:abstractNumId w:val="19"/>
  </w:num>
  <w:num w:numId="13">
    <w:abstractNumId w:val="21"/>
  </w:num>
  <w:num w:numId="14">
    <w:abstractNumId w:val="11"/>
  </w:num>
  <w:num w:numId="15">
    <w:abstractNumId w:val="8"/>
  </w:num>
  <w:num w:numId="16">
    <w:abstractNumId w:val="6"/>
  </w:num>
  <w:num w:numId="17">
    <w:abstractNumId w:val="14"/>
  </w:num>
  <w:num w:numId="18">
    <w:abstractNumId w:val="1"/>
  </w:num>
  <w:num w:numId="19">
    <w:abstractNumId w:val="10"/>
  </w:num>
  <w:num w:numId="20">
    <w:abstractNumId w:val="4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1688"/>
    <w:rsid w:val="00003525"/>
    <w:rsid w:val="00003A79"/>
    <w:rsid w:val="000149B6"/>
    <w:rsid w:val="00016EEA"/>
    <w:rsid w:val="000237C4"/>
    <w:rsid w:val="00030A62"/>
    <w:rsid w:val="00083B67"/>
    <w:rsid w:val="00085AA7"/>
    <w:rsid w:val="000B1C27"/>
    <w:rsid w:val="000B4C89"/>
    <w:rsid w:val="000C0847"/>
    <w:rsid w:val="000C3752"/>
    <w:rsid w:val="000F2412"/>
    <w:rsid w:val="000F423D"/>
    <w:rsid w:val="000F6A29"/>
    <w:rsid w:val="00110263"/>
    <w:rsid w:val="001175EA"/>
    <w:rsid w:val="001327AB"/>
    <w:rsid w:val="00141B73"/>
    <w:rsid w:val="001530D5"/>
    <w:rsid w:val="00161011"/>
    <w:rsid w:val="00170AF6"/>
    <w:rsid w:val="001B3AA2"/>
    <w:rsid w:val="001C1F42"/>
    <w:rsid w:val="001D12F0"/>
    <w:rsid w:val="001D2A67"/>
    <w:rsid w:val="001E028E"/>
    <w:rsid w:val="00243429"/>
    <w:rsid w:val="00261C93"/>
    <w:rsid w:val="00282335"/>
    <w:rsid w:val="002951E3"/>
    <w:rsid w:val="002A46E5"/>
    <w:rsid w:val="002B18D7"/>
    <w:rsid w:val="002B2417"/>
    <w:rsid w:val="002B54A0"/>
    <w:rsid w:val="002C3042"/>
    <w:rsid w:val="002D341B"/>
    <w:rsid w:val="002D7FAB"/>
    <w:rsid w:val="0031392E"/>
    <w:rsid w:val="00321948"/>
    <w:rsid w:val="00330526"/>
    <w:rsid w:val="00345CAE"/>
    <w:rsid w:val="00371DFE"/>
    <w:rsid w:val="00391301"/>
    <w:rsid w:val="003B2484"/>
    <w:rsid w:val="003C66A2"/>
    <w:rsid w:val="003D193A"/>
    <w:rsid w:val="00414E6C"/>
    <w:rsid w:val="00424952"/>
    <w:rsid w:val="00431135"/>
    <w:rsid w:val="00451338"/>
    <w:rsid w:val="00453C85"/>
    <w:rsid w:val="00467106"/>
    <w:rsid w:val="004776EB"/>
    <w:rsid w:val="00483B8F"/>
    <w:rsid w:val="0048508C"/>
    <w:rsid w:val="0049020D"/>
    <w:rsid w:val="00496CAC"/>
    <w:rsid w:val="004A72AC"/>
    <w:rsid w:val="004C607F"/>
    <w:rsid w:val="004E0BA0"/>
    <w:rsid w:val="004E5076"/>
    <w:rsid w:val="004F30A8"/>
    <w:rsid w:val="00506BE7"/>
    <w:rsid w:val="005171A9"/>
    <w:rsid w:val="005230E3"/>
    <w:rsid w:val="0053164E"/>
    <w:rsid w:val="005320EC"/>
    <w:rsid w:val="0055463A"/>
    <w:rsid w:val="00561C05"/>
    <w:rsid w:val="005728EA"/>
    <w:rsid w:val="00580294"/>
    <w:rsid w:val="005863A9"/>
    <w:rsid w:val="005B7959"/>
    <w:rsid w:val="005E7E0A"/>
    <w:rsid w:val="006047BF"/>
    <w:rsid w:val="00620A85"/>
    <w:rsid w:val="006277EF"/>
    <w:rsid w:val="00640DE2"/>
    <w:rsid w:val="006426A1"/>
    <w:rsid w:val="00644269"/>
    <w:rsid w:val="00664815"/>
    <w:rsid w:val="006A7E5F"/>
    <w:rsid w:val="006C28B2"/>
    <w:rsid w:val="006C523C"/>
    <w:rsid w:val="006D35C0"/>
    <w:rsid w:val="006D3E0B"/>
    <w:rsid w:val="006E07E1"/>
    <w:rsid w:val="006E3540"/>
    <w:rsid w:val="006F4177"/>
    <w:rsid w:val="00712DC6"/>
    <w:rsid w:val="00732AEC"/>
    <w:rsid w:val="0075252F"/>
    <w:rsid w:val="00755C4F"/>
    <w:rsid w:val="00763708"/>
    <w:rsid w:val="0076450A"/>
    <w:rsid w:val="00765457"/>
    <w:rsid w:val="00773742"/>
    <w:rsid w:val="00776687"/>
    <w:rsid w:val="00781C92"/>
    <w:rsid w:val="007A604F"/>
    <w:rsid w:val="007E785F"/>
    <w:rsid w:val="008038E1"/>
    <w:rsid w:val="0081384A"/>
    <w:rsid w:val="00823DA0"/>
    <w:rsid w:val="00832081"/>
    <w:rsid w:val="00842C0D"/>
    <w:rsid w:val="008803A2"/>
    <w:rsid w:val="008A0A51"/>
    <w:rsid w:val="008A6E51"/>
    <w:rsid w:val="008D247D"/>
    <w:rsid w:val="008D4F46"/>
    <w:rsid w:val="008E021D"/>
    <w:rsid w:val="008F5F9C"/>
    <w:rsid w:val="00923B7C"/>
    <w:rsid w:val="009325B8"/>
    <w:rsid w:val="00951735"/>
    <w:rsid w:val="0097200C"/>
    <w:rsid w:val="0099491D"/>
    <w:rsid w:val="009949AD"/>
    <w:rsid w:val="009C63D0"/>
    <w:rsid w:val="009D0C4E"/>
    <w:rsid w:val="009E002F"/>
    <w:rsid w:val="009E0B17"/>
    <w:rsid w:val="009E2ED7"/>
    <w:rsid w:val="009E7503"/>
    <w:rsid w:val="00A2454B"/>
    <w:rsid w:val="00A30D83"/>
    <w:rsid w:val="00A3376A"/>
    <w:rsid w:val="00A45F3E"/>
    <w:rsid w:val="00A60D3F"/>
    <w:rsid w:val="00A80993"/>
    <w:rsid w:val="00A86455"/>
    <w:rsid w:val="00A95A64"/>
    <w:rsid w:val="00A95ACB"/>
    <w:rsid w:val="00AC4F61"/>
    <w:rsid w:val="00B01C93"/>
    <w:rsid w:val="00B15DFC"/>
    <w:rsid w:val="00B34101"/>
    <w:rsid w:val="00B52C23"/>
    <w:rsid w:val="00B56E9E"/>
    <w:rsid w:val="00B76CE8"/>
    <w:rsid w:val="00B83A74"/>
    <w:rsid w:val="00B90C50"/>
    <w:rsid w:val="00BA4457"/>
    <w:rsid w:val="00BB31E7"/>
    <w:rsid w:val="00BC158E"/>
    <w:rsid w:val="00BC2BC0"/>
    <w:rsid w:val="00BD2B44"/>
    <w:rsid w:val="00BE4115"/>
    <w:rsid w:val="00BE4B75"/>
    <w:rsid w:val="00C210C5"/>
    <w:rsid w:val="00C23B86"/>
    <w:rsid w:val="00C308E3"/>
    <w:rsid w:val="00C325A8"/>
    <w:rsid w:val="00C354E1"/>
    <w:rsid w:val="00C54B04"/>
    <w:rsid w:val="00C557BB"/>
    <w:rsid w:val="00C5758B"/>
    <w:rsid w:val="00C63776"/>
    <w:rsid w:val="00C76849"/>
    <w:rsid w:val="00C770E0"/>
    <w:rsid w:val="00CA6F6B"/>
    <w:rsid w:val="00CC147A"/>
    <w:rsid w:val="00CD0C94"/>
    <w:rsid w:val="00CE100A"/>
    <w:rsid w:val="00CF3EFF"/>
    <w:rsid w:val="00D05D57"/>
    <w:rsid w:val="00D11BC8"/>
    <w:rsid w:val="00D15D62"/>
    <w:rsid w:val="00D75B44"/>
    <w:rsid w:val="00D80761"/>
    <w:rsid w:val="00D80E57"/>
    <w:rsid w:val="00D823FE"/>
    <w:rsid w:val="00D96F73"/>
    <w:rsid w:val="00DA4489"/>
    <w:rsid w:val="00DA484D"/>
    <w:rsid w:val="00DC0882"/>
    <w:rsid w:val="00DD177D"/>
    <w:rsid w:val="00DE6450"/>
    <w:rsid w:val="00DF311F"/>
    <w:rsid w:val="00E12D98"/>
    <w:rsid w:val="00E26879"/>
    <w:rsid w:val="00E37561"/>
    <w:rsid w:val="00E57160"/>
    <w:rsid w:val="00E6052B"/>
    <w:rsid w:val="00E671B5"/>
    <w:rsid w:val="00E76779"/>
    <w:rsid w:val="00E82DA1"/>
    <w:rsid w:val="00E8586C"/>
    <w:rsid w:val="00E9322C"/>
    <w:rsid w:val="00E94644"/>
    <w:rsid w:val="00E97DEC"/>
    <w:rsid w:val="00EA263A"/>
    <w:rsid w:val="00EA4E79"/>
    <w:rsid w:val="00EE36FE"/>
    <w:rsid w:val="00F13CBA"/>
    <w:rsid w:val="00F27251"/>
    <w:rsid w:val="00F374B0"/>
    <w:rsid w:val="00F443CE"/>
    <w:rsid w:val="00F656B6"/>
    <w:rsid w:val="00F72D5C"/>
    <w:rsid w:val="00F80FBE"/>
    <w:rsid w:val="00F856B8"/>
    <w:rsid w:val="00FB4A9F"/>
    <w:rsid w:val="00FB61BF"/>
    <w:rsid w:val="00FC2CA0"/>
    <w:rsid w:val="00FD1A2A"/>
    <w:rsid w:val="00FD44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DE1A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12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12F0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1D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47A22-C0E6-4AC7-9E87-604DD247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25</cp:revision>
  <cp:lastPrinted>2024-08-30T07:59:00Z</cp:lastPrinted>
  <dcterms:created xsi:type="dcterms:W3CDTF">2024-08-28T13:00:00Z</dcterms:created>
  <dcterms:modified xsi:type="dcterms:W3CDTF">2024-09-02T12:22:00Z</dcterms:modified>
</cp:coreProperties>
</file>