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DA2" w:rsidRPr="00706DA2" w:rsidRDefault="00706DA2" w:rsidP="00706DA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06DA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077E5" w:rsidRPr="00C71030" w:rsidRDefault="00A35D37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335995">
        <w:rPr>
          <w:rFonts w:ascii="Tahoma" w:hAnsi="Tahoma" w:cs="Tahoma"/>
          <w:sz w:val="24"/>
          <w:szCs w:val="24"/>
        </w:rPr>
        <w:t>3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 w:rsidR="00335995">
        <w:rPr>
          <w:rFonts w:ascii="Tahoma" w:hAnsi="Tahoma" w:cs="Tahoma"/>
          <w:sz w:val="24"/>
          <w:szCs w:val="24"/>
        </w:rPr>
        <w:t>4</w:t>
      </w:r>
      <w:r w:rsidR="008077E5" w:rsidRPr="00C71030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4D332A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6919E6" w:rsidRPr="004D332A" w:rsidRDefault="005B585B" w:rsidP="00055A1F">
      <w:pPr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4D332A">
        <w:rPr>
          <w:rFonts w:ascii="Tahoma" w:hAnsi="Tahoma" w:cs="Tahoma"/>
          <w:b/>
          <w:u w:val="single"/>
        </w:rPr>
        <w:t xml:space="preserve">Rozpočtová opatření </w:t>
      </w:r>
      <w:r w:rsidR="00E941B4" w:rsidRPr="004D332A">
        <w:rPr>
          <w:rFonts w:ascii="Tahoma" w:hAnsi="Tahoma" w:cs="Tahoma"/>
          <w:b/>
          <w:u w:val="single"/>
        </w:rPr>
        <w:t xml:space="preserve">č. </w:t>
      </w:r>
      <w:r w:rsidR="00335995" w:rsidRPr="004D332A">
        <w:rPr>
          <w:rFonts w:ascii="Tahoma" w:hAnsi="Tahoma" w:cs="Tahoma"/>
          <w:b/>
          <w:u w:val="single"/>
        </w:rPr>
        <w:t>14</w:t>
      </w:r>
      <w:r w:rsidR="00E941B4" w:rsidRPr="004D332A">
        <w:rPr>
          <w:rFonts w:ascii="Tahoma" w:hAnsi="Tahoma" w:cs="Tahoma"/>
          <w:b/>
          <w:u w:val="single"/>
        </w:rPr>
        <w:t xml:space="preserve"> </w:t>
      </w:r>
      <w:r w:rsidR="006919E6" w:rsidRPr="004D332A">
        <w:rPr>
          <w:rFonts w:ascii="Tahoma" w:hAnsi="Tahoma" w:cs="Tahoma"/>
          <w:b/>
          <w:u w:val="single"/>
        </w:rPr>
        <w:t>–</w:t>
      </w:r>
      <w:r w:rsidR="004B4F79" w:rsidRPr="004D332A">
        <w:rPr>
          <w:rFonts w:ascii="Tahoma" w:hAnsi="Tahoma" w:cs="Tahoma"/>
          <w:b/>
          <w:u w:val="single"/>
        </w:rPr>
        <w:t xml:space="preserve"> </w:t>
      </w:r>
      <w:r w:rsidR="00923F7B" w:rsidRPr="004D332A">
        <w:rPr>
          <w:rFonts w:ascii="Tahoma" w:hAnsi="Tahoma" w:cs="Tahoma"/>
          <w:b/>
          <w:u w:val="single"/>
        </w:rPr>
        <w:t>1</w:t>
      </w:r>
      <w:r w:rsidR="005C5386">
        <w:rPr>
          <w:rFonts w:ascii="Tahoma" w:hAnsi="Tahoma" w:cs="Tahoma"/>
          <w:b/>
          <w:u w:val="single"/>
        </w:rPr>
        <w:t>7</w:t>
      </w:r>
    </w:p>
    <w:p w:rsidR="003D24D8" w:rsidRPr="004D332A" w:rsidRDefault="00C1680B" w:rsidP="00055A1F">
      <w:pPr>
        <w:numPr>
          <w:ilvl w:val="0"/>
          <w:numId w:val="3"/>
        </w:numPr>
        <w:rPr>
          <w:rFonts w:ascii="Tahoma" w:hAnsi="Tahoma" w:cs="Tahoma"/>
          <w:b/>
          <w:u w:val="single"/>
        </w:rPr>
      </w:pPr>
      <w:proofErr w:type="spellStart"/>
      <w:r w:rsidRPr="004D332A">
        <w:rPr>
          <w:rFonts w:ascii="Tahoma" w:hAnsi="Tahoma" w:cs="Tahoma"/>
          <w:b/>
          <w:u w:val="single"/>
        </w:rPr>
        <w:t>MěÚSS</w:t>
      </w:r>
      <w:proofErr w:type="spellEnd"/>
      <w:r w:rsidR="006D08FB" w:rsidRPr="004D332A">
        <w:rPr>
          <w:rFonts w:ascii="Tahoma" w:hAnsi="Tahoma" w:cs="Tahoma"/>
          <w:b/>
          <w:u w:val="single"/>
        </w:rPr>
        <w:t xml:space="preserve"> – použití investičního fondu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A7737C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7737C">
        <w:rPr>
          <w:rFonts w:ascii="Tahoma" w:hAnsi="Tahoma" w:cs="Tahoma"/>
          <w:sz w:val="20"/>
          <w:szCs w:val="20"/>
        </w:rPr>
        <w:t xml:space="preserve">K projednání v radě města dne </w:t>
      </w:r>
      <w:r w:rsidR="00C1680B">
        <w:rPr>
          <w:rFonts w:ascii="Tahoma" w:hAnsi="Tahoma" w:cs="Tahoma"/>
          <w:sz w:val="20"/>
          <w:szCs w:val="20"/>
        </w:rPr>
        <w:t>5</w:t>
      </w:r>
      <w:r w:rsidR="00A35D37">
        <w:rPr>
          <w:rFonts w:ascii="Tahoma" w:hAnsi="Tahoma" w:cs="Tahoma"/>
          <w:sz w:val="20"/>
          <w:szCs w:val="20"/>
        </w:rPr>
        <w:t>.</w:t>
      </w:r>
      <w:r w:rsidR="008E1865" w:rsidRPr="00A7737C">
        <w:rPr>
          <w:rFonts w:ascii="Tahoma" w:hAnsi="Tahoma" w:cs="Tahoma"/>
          <w:sz w:val="20"/>
          <w:szCs w:val="20"/>
        </w:rPr>
        <w:t xml:space="preserve"> </w:t>
      </w:r>
      <w:r w:rsidR="00C1680B">
        <w:rPr>
          <w:rFonts w:ascii="Tahoma" w:hAnsi="Tahoma" w:cs="Tahoma"/>
          <w:sz w:val="20"/>
          <w:szCs w:val="20"/>
        </w:rPr>
        <w:t>března</w:t>
      </w:r>
      <w:r w:rsidR="004D332A">
        <w:rPr>
          <w:rFonts w:ascii="Tahoma" w:hAnsi="Tahoma" w:cs="Tahoma"/>
          <w:sz w:val="20"/>
          <w:szCs w:val="20"/>
        </w:rPr>
        <w:t xml:space="preserve"> 2025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6B86" w:rsidRPr="00C71030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32A" w:rsidRDefault="004D33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32A" w:rsidRDefault="004D33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32A" w:rsidRPr="00C71030" w:rsidRDefault="004D33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011F" w:rsidRPr="00C71030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12DC" w:rsidRPr="00C71030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A7737C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7737C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A7737C">
        <w:rPr>
          <w:rFonts w:ascii="Tahoma" w:hAnsi="Tahoma" w:cs="Tahoma"/>
          <w:b/>
          <w:bCs/>
          <w:sz w:val="20"/>
          <w:szCs w:val="20"/>
        </w:rPr>
        <w:tab/>
      </w:r>
      <w:r w:rsidRPr="00A7737C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7737C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A7737C">
        <w:rPr>
          <w:rFonts w:ascii="Tahoma" w:hAnsi="Tahoma" w:cs="Tahoma"/>
          <w:sz w:val="20"/>
          <w:szCs w:val="20"/>
        </w:rPr>
        <w:t>, v</w:t>
      </w:r>
      <w:r w:rsidRPr="00A7737C">
        <w:rPr>
          <w:rFonts w:ascii="Tahoma" w:hAnsi="Tahoma" w:cs="Tahoma"/>
          <w:sz w:val="20"/>
          <w:szCs w:val="20"/>
        </w:rPr>
        <w:t>edoucí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Pr="00C71030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71030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F54AB" w:rsidRPr="00C71030" w:rsidRDefault="00EF54A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919E6" w:rsidRDefault="006919E6" w:rsidP="00766A02">
      <w:pPr>
        <w:pStyle w:val="Nadpis2"/>
        <w:numPr>
          <w:ilvl w:val="0"/>
          <w:numId w:val="2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Rozpočtová opatření č. </w:t>
      </w:r>
      <w:r w:rsidR="00BD0E0D">
        <w:rPr>
          <w:rFonts w:ascii="Tahoma" w:hAnsi="Tahoma" w:cs="Tahoma"/>
          <w:sz w:val="24"/>
        </w:rPr>
        <w:t xml:space="preserve">14 </w:t>
      </w:r>
      <w:r>
        <w:rPr>
          <w:rFonts w:ascii="Tahoma" w:hAnsi="Tahoma" w:cs="Tahoma"/>
          <w:sz w:val="24"/>
        </w:rPr>
        <w:t xml:space="preserve">– </w:t>
      </w:r>
      <w:r w:rsidR="00923F7B">
        <w:rPr>
          <w:rFonts w:ascii="Tahoma" w:hAnsi="Tahoma" w:cs="Tahoma"/>
          <w:sz w:val="24"/>
        </w:rPr>
        <w:t>1</w:t>
      </w:r>
      <w:r w:rsidR="005C5386">
        <w:rPr>
          <w:rFonts w:ascii="Tahoma" w:hAnsi="Tahoma" w:cs="Tahoma"/>
          <w:sz w:val="24"/>
        </w:rPr>
        <w:t>7</w:t>
      </w:r>
    </w:p>
    <w:p w:rsidR="002A58B2" w:rsidRPr="00DC268C" w:rsidRDefault="002A58B2" w:rsidP="002A58B2">
      <w:pPr>
        <w:rPr>
          <w:sz w:val="16"/>
          <w:szCs w:val="16"/>
        </w:rPr>
      </w:pPr>
    </w:p>
    <w:p w:rsidR="00AA71BE" w:rsidRPr="00DC268C" w:rsidRDefault="00AA71BE" w:rsidP="00AA71BE">
      <w:pPr>
        <w:rPr>
          <w:rFonts w:ascii="Tahoma" w:hAnsi="Tahoma" w:cs="Tahoma"/>
          <w:i/>
          <w:iCs/>
          <w:sz w:val="12"/>
          <w:szCs w:val="12"/>
        </w:rPr>
      </w:pPr>
    </w:p>
    <w:p w:rsidR="006919E6" w:rsidRPr="00B02E51" w:rsidRDefault="006919E6" w:rsidP="006919E6">
      <w:pPr>
        <w:rPr>
          <w:rFonts w:ascii="Tahoma" w:hAnsi="Tahoma" w:cs="Tahoma"/>
          <w:b/>
          <w:bCs/>
          <w:sz w:val="20"/>
          <w:szCs w:val="20"/>
        </w:rPr>
      </w:pPr>
      <w:r w:rsidRPr="00B02E51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919E6" w:rsidRPr="00B02E51" w:rsidRDefault="006919E6" w:rsidP="006919E6">
      <w:pPr>
        <w:rPr>
          <w:rFonts w:ascii="Tahoma" w:hAnsi="Tahoma" w:cs="Tahoma"/>
          <w:sz w:val="20"/>
          <w:szCs w:val="20"/>
        </w:rPr>
      </w:pPr>
      <w:r w:rsidRPr="00B02E51">
        <w:rPr>
          <w:rFonts w:ascii="Tahoma" w:hAnsi="Tahoma" w:cs="Tahoma"/>
          <w:sz w:val="20"/>
          <w:szCs w:val="20"/>
        </w:rPr>
        <w:t>RM po projednání</w:t>
      </w:r>
    </w:p>
    <w:p w:rsidR="000D2100" w:rsidRPr="00DC268C" w:rsidRDefault="000D2100" w:rsidP="006919E6">
      <w:pPr>
        <w:rPr>
          <w:rFonts w:ascii="Tahoma" w:hAnsi="Tahoma" w:cs="Tahoma"/>
          <w:sz w:val="16"/>
          <w:szCs w:val="16"/>
        </w:rPr>
      </w:pPr>
    </w:p>
    <w:p w:rsidR="001B3E76" w:rsidRPr="00B02E51" w:rsidRDefault="001B3E76" w:rsidP="001B3E76">
      <w:pPr>
        <w:pStyle w:val="Nadpis3"/>
        <w:rPr>
          <w:sz w:val="20"/>
          <w:szCs w:val="20"/>
        </w:rPr>
      </w:pPr>
      <w:r w:rsidRPr="00B02E51">
        <w:rPr>
          <w:sz w:val="20"/>
          <w:szCs w:val="20"/>
        </w:rPr>
        <w:t>I. Schvaluje</w:t>
      </w:r>
    </w:p>
    <w:p w:rsidR="00DB24A0" w:rsidRPr="000360B5" w:rsidRDefault="00DB24A0" w:rsidP="00DB24A0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</w:t>
      </w:r>
      <w:r w:rsidR="00FA11EA">
        <w:rPr>
          <w:rFonts w:ascii="Tahoma" w:hAnsi="Tahoma" w:cs="Tahoma"/>
          <w:b/>
          <w:sz w:val="20"/>
          <w:szCs w:val="20"/>
        </w:rPr>
        <w:t>4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283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DB24A0" w:rsidRPr="0036601C" w:rsidRDefault="00DB24A0" w:rsidP="00DB24A0">
      <w:pPr>
        <w:pStyle w:val="Zkladntext"/>
        <w:spacing w:after="60"/>
        <w:rPr>
          <w:rFonts w:ascii="Tahoma" w:hAnsi="Tahoma" w:cs="Tahoma"/>
          <w:sz w:val="20"/>
          <w:szCs w:val="20"/>
        </w:rPr>
      </w:pPr>
      <w:r w:rsidRPr="00420E34">
        <w:rPr>
          <w:rFonts w:ascii="Tahoma" w:eastAsia="MS Mincho" w:hAnsi="Tahoma" w:cs="Tahoma"/>
          <w:sz w:val="20"/>
          <w:szCs w:val="20"/>
        </w:rPr>
        <w:t xml:space="preserve">Navýšení rozpočtu výdajů </w:t>
      </w:r>
      <w:r>
        <w:rPr>
          <w:rFonts w:ascii="Tahoma" w:eastAsia="MS Mincho" w:hAnsi="Tahoma" w:cs="Tahoma"/>
          <w:sz w:val="20"/>
          <w:szCs w:val="20"/>
        </w:rPr>
        <w:t>odboru životního prostředí na dovybavení nové hasičské zbrojnice</w:t>
      </w:r>
      <w:r w:rsidR="003A7310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</w:t>
      </w:r>
      <w:r w:rsidR="003A7310">
        <w:rPr>
          <w:rFonts w:ascii="Tahoma" w:eastAsia="MS Mincho" w:hAnsi="Tahoma" w:cs="Tahoma"/>
          <w:sz w:val="20"/>
          <w:szCs w:val="20"/>
        </w:rPr>
        <w:t> </w:t>
      </w:r>
      <w:r>
        <w:rPr>
          <w:rFonts w:ascii="Tahoma" w:eastAsia="MS Mincho" w:hAnsi="Tahoma" w:cs="Tahoma"/>
          <w:sz w:val="20"/>
          <w:szCs w:val="20"/>
        </w:rPr>
        <w:t>ul. Krále Jiřího z Poděbrad. V rozpočtu na rok 2025 je již na vybavení vyčleněna částka 500.000 Kč</w:t>
      </w:r>
      <w:r w:rsidR="003A7310">
        <w:rPr>
          <w:rFonts w:ascii="Tahoma" w:eastAsia="MS Mincho" w:hAnsi="Tahoma" w:cs="Tahoma"/>
          <w:sz w:val="20"/>
          <w:szCs w:val="20"/>
        </w:rPr>
        <w:t>. Finanční prostředky v celkové výši 783.000 Kč budou použity zejména na</w:t>
      </w:r>
      <w:r w:rsidR="006A7759">
        <w:rPr>
          <w:rFonts w:ascii="Tahoma" w:eastAsia="MS Mincho" w:hAnsi="Tahoma" w:cs="Tahoma"/>
          <w:sz w:val="20"/>
          <w:szCs w:val="20"/>
        </w:rPr>
        <w:t xml:space="preserve"> vybavení kanceláře velitele, archivu, školící místnosti, kuchyňky, šaten, na p</w:t>
      </w:r>
      <w:r w:rsidR="003A7310">
        <w:rPr>
          <w:rFonts w:ascii="Tahoma" w:eastAsia="MS Mincho" w:hAnsi="Tahoma" w:cs="Tahoma"/>
          <w:sz w:val="20"/>
          <w:szCs w:val="20"/>
        </w:rPr>
        <w:t>ořízení kompresoru, stožárů na vlajky, sanitární techniky, žaluzií, polepů.</w:t>
      </w:r>
      <w:r>
        <w:rPr>
          <w:rFonts w:ascii="Tahoma" w:eastAsia="MS Mincho" w:hAnsi="Tahoma" w:cs="Tahoma"/>
          <w:sz w:val="20"/>
          <w:szCs w:val="20"/>
        </w:rPr>
        <w:t xml:space="preserve"> Rozpočtové opatření bude kryto </w:t>
      </w:r>
      <w:r w:rsidR="003A7310">
        <w:rPr>
          <w:rFonts w:ascii="Tahoma" w:eastAsia="MS Mincho" w:hAnsi="Tahoma" w:cs="Tahoma"/>
          <w:sz w:val="20"/>
          <w:szCs w:val="20"/>
        </w:rPr>
        <w:t>použitím prostředků minulých let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DB24A0" w:rsidRPr="00332056" w:rsidTr="00B33BA5">
        <w:tc>
          <w:tcPr>
            <w:tcW w:w="2268" w:type="dxa"/>
          </w:tcPr>
          <w:p w:rsidR="00DB24A0" w:rsidRPr="00332056" w:rsidRDefault="00DB24A0" w:rsidP="00B33BA5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DB24A0" w:rsidRPr="00332056" w:rsidRDefault="00DB24A0" w:rsidP="00B33BA5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DB24A0" w:rsidRPr="00332056" w:rsidRDefault="00DB24A0" w:rsidP="00B33BA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  <w:r w:rsidR="003A7310">
              <w:rPr>
                <w:rFonts w:ascii="Tahoma" w:hAnsi="Tahoma" w:cs="Tahoma"/>
                <w:sz w:val="20"/>
                <w:szCs w:val="20"/>
              </w:rPr>
              <w:t>5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7310">
              <w:rPr>
                <w:rFonts w:ascii="Tahoma" w:hAnsi="Tahoma" w:cs="Tahoma"/>
                <w:sz w:val="20"/>
                <w:szCs w:val="20"/>
              </w:rPr>
              <w:t>5512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3A7310">
              <w:rPr>
                <w:rFonts w:ascii="Tahoma" w:hAnsi="Tahoma" w:cs="Tahoma"/>
                <w:sz w:val="20"/>
                <w:szCs w:val="20"/>
              </w:rPr>
              <w:t>x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559" w:type="dxa"/>
          </w:tcPr>
          <w:p w:rsidR="00DB24A0" w:rsidRPr="00332056" w:rsidRDefault="00DB24A0" w:rsidP="00B33BA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24A0" w:rsidRPr="00332056" w:rsidTr="00B33BA5">
        <w:tc>
          <w:tcPr>
            <w:tcW w:w="2268" w:type="dxa"/>
          </w:tcPr>
          <w:p w:rsidR="00DB24A0" w:rsidRPr="00332056" w:rsidRDefault="00DB24A0" w:rsidP="00B33B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24A0" w:rsidRPr="00332056" w:rsidRDefault="00DB24A0" w:rsidP="00B33B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DB24A0" w:rsidRPr="00332056" w:rsidRDefault="003A7310" w:rsidP="00B33BA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559" w:type="dxa"/>
          </w:tcPr>
          <w:p w:rsidR="00DB24A0" w:rsidRPr="00332056" w:rsidRDefault="00DB24A0" w:rsidP="00B33BA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B24A0" w:rsidRPr="00DC268C" w:rsidRDefault="00DB24A0" w:rsidP="00F70946">
      <w:pPr>
        <w:jc w:val="both"/>
        <w:rPr>
          <w:rFonts w:ascii="Tahoma" w:hAnsi="Tahoma" w:cs="Tahoma"/>
          <w:b/>
          <w:bCs/>
          <w:sz w:val="16"/>
          <w:szCs w:val="16"/>
        </w:rPr>
      </w:pPr>
    </w:p>
    <w:p w:rsidR="003A7310" w:rsidRPr="000360B5" w:rsidRDefault="003A7310" w:rsidP="003A7310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</w:t>
      </w:r>
      <w:r w:rsidR="00FA11EA">
        <w:rPr>
          <w:rFonts w:ascii="Tahoma" w:hAnsi="Tahoma" w:cs="Tahoma"/>
          <w:b/>
          <w:sz w:val="20"/>
          <w:szCs w:val="20"/>
        </w:rPr>
        <w:t>5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65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3A7310" w:rsidRPr="0036601C" w:rsidRDefault="003A7310" w:rsidP="003A7310">
      <w:pPr>
        <w:pStyle w:val="Zkladntext"/>
        <w:spacing w:after="60"/>
        <w:rPr>
          <w:rFonts w:ascii="Tahoma" w:hAnsi="Tahoma" w:cs="Tahoma"/>
          <w:sz w:val="20"/>
          <w:szCs w:val="20"/>
        </w:rPr>
      </w:pPr>
      <w:r w:rsidRPr="00420E34">
        <w:rPr>
          <w:rFonts w:ascii="Tahoma" w:eastAsia="MS Mincho" w:hAnsi="Tahoma" w:cs="Tahoma"/>
          <w:sz w:val="20"/>
          <w:szCs w:val="20"/>
        </w:rPr>
        <w:t xml:space="preserve">Navýšení rozpočtu výdajů </w:t>
      </w:r>
      <w:r>
        <w:rPr>
          <w:rFonts w:ascii="Tahoma" w:eastAsia="MS Mincho" w:hAnsi="Tahoma" w:cs="Tahoma"/>
          <w:sz w:val="20"/>
          <w:szCs w:val="20"/>
        </w:rPr>
        <w:t xml:space="preserve">odboru životního prostředí na opravu </w:t>
      </w:r>
      <w:proofErr w:type="spellStart"/>
      <w:r>
        <w:rPr>
          <w:rFonts w:ascii="Tahoma" w:eastAsia="MS Mincho" w:hAnsi="Tahoma" w:cs="Tahoma"/>
          <w:sz w:val="20"/>
          <w:szCs w:val="20"/>
        </w:rPr>
        <w:t>polopodzemních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kontejnerů, které byly poškozeny vandalismem. 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3A7310" w:rsidRPr="00332056" w:rsidTr="00B33BA5">
        <w:tc>
          <w:tcPr>
            <w:tcW w:w="2268" w:type="dxa"/>
          </w:tcPr>
          <w:p w:rsidR="003A7310" w:rsidRPr="00332056" w:rsidRDefault="003A7310" w:rsidP="00B33BA5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3A7310" w:rsidRPr="00332056" w:rsidRDefault="003A7310" w:rsidP="00B33BA5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3A7310" w:rsidRPr="00332056" w:rsidRDefault="003A7310" w:rsidP="00B33BA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372x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  <w:tc>
          <w:tcPr>
            <w:tcW w:w="1559" w:type="dxa"/>
          </w:tcPr>
          <w:p w:rsidR="003A7310" w:rsidRPr="00332056" w:rsidRDefault="003A7310" w:rsidP="00B33BA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7310" w:rsidRPr="00332056" w:rsidTr="00B33BA5">
        <w:tc>
          <w:tcPr>
            <w:tcW w:w="2268" w:type="dxa"/>
          </w:tcPr>
          <w:p w:rsidR="003A7310" w:rsidRPr="00332056" w:rsidRDefault="003A7310" w:rsidP="00B33B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3A7310" w:rsidRPr="00332056" w:rsidRDefault="003A7310" w:rsidP="00B33B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3A7310" w:rsidRPr="00332056" w:rsidRDefault="003A7310" w:rsidP="00B33BA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3639 – 2322</w:t>
            </w:r>
          </w:p>
        </w:tc>
        <w:tc>
          <w:tcPr>
            <w:tcW w:w="1559" w:type="dxa"/>
          </w:tcPr>
          <w:p w:rsidR="003A7310" w:rsidRPr="00332056" w:rsidRDefault="003A7310" w:rsidP="00B33BA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B24A0" w:rsidRPr="00DC268C" w:rsidRDefault="00DB24A0" w:rsidP="00F70946">
      <w:pPr>
        <w:jc w:val="both"/>
        <w:rPr>
          <w:rFonts w:ascii="Tahoma" w:hAnsi="Tahoma" w:cs="Tahoma"/>
          <w:b/>
          <w:bCs/>
          <w:sz w:val="16"/>
          <w:szCs w:val="16"/>
        </w:rPr>
      </w:pPr>
    </w:p>
    <w:p w:rsidR="00FA11EA" w:rsidRPr="000360B5" w:rsidRDefault="00FA11EA" w:rsidP="00FA11EA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16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45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FA11EA" w:rsidRPr="0036601C" w:rsidRDefault="00FA11EA" w:rsidP="00FA11EA">
      <w:pPr>
        <w:pStyle w:val="Zkladntext"/>
        <w:spacing w:after="60"/>
        <w:rPr>
          <w:rFonts w:ascii="Tahoma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Navýšení příspěvku s vyúčtováním na provoz příspěvkové organizaci Z</w:t>
      </w:r>
      <w:r w:rsidR="005C5386">
        <w:rPr>
          <w:rFonts w:ascii="Tahoma" w:eastAsia="MS Mincho" w:hAnsi="Tahoma" w:cs="Tahoma"/>
          <w:sz w:val="20"/>
          <w:szCs w:val="20"/>
        </w:rPr>
        <w:t>Š</w:t>
      </w:r>
      <w:r>
        <w:rPr>
          <w:rFonts w:ascii="Tahoma" w:eastAsia="MS Mincho" w:hAnsi="Tahoma" w:cs="Tahoma"/>
          <w:sz w:val="20"/>
          <w:szCs w:val="20"/>
        </w:rPr>
        <w:t xml:space="preserve"> Strakonice, Dukelská 166 na zajištění výměnného pobytu žáků školy (partnerská škola v </w:t>
      </w:r>
      <w:proofErr w:type="spellStart"/>
      <w:r>
        <w:rPr>
          <w:rFonts w:ascii="Tahoma" w:eastAsia="MS Mincho" w:hAnsi="Tahoma" w:cs="Tahoma"/>
          <w:sz w:val="20"/>
          <w:szCs w:val="20"/>
        </w:rPr>
        <w:t>Lengnau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). Finanční prostředky budou použity na částečnou úhradu </w:t>
      </w:r>
      <w:r w:rsidR="00C04921">
        <w:rPr>
          <w:rFonts w:ascii="Tahoma" w:eastAsia="MS Mincho" w:hAnsi="Tahoma" w:cs="Tahoma"/>
          <w:sz w:val="20"/>
          <w:szCs w:val="20"/>
        </w:rPr>
        <w:t xml:space="preserve">nákladů na </w:t>
      </w:r>
      <w:r>
        <w:rPr>
          <w:rFonts w:ascii="Tahoma" w:eastAsia="MS Mincho" w:hAnsi="Tahoma" w:cs="Tahoma"/>
          <w:sz w:val="20"/>
          <w:szCs w:val="20"/>
        </w:rPr>
        <w:t>doprav</w:t>
      </w:r>
      <w:r w:rsidR="00C04921">
        <w:rPr>
          <w:rFonts w:ascii="Tahoma" w:eastAsia="MS Mincho" w:hAnsi="Tahoma" w:cs="Tahoma"/>
          <w:sz w:val="20"/>
          <w:szCs w:val="20"/>
        </w:rPr>
        <w:t>u</w:t>
      </w:r>
      <w:r>
        <w:rPr>
          <w:rFonts w:ascii="Tahoma" w:eastAsia="MS Mincho" w:hAnsi="Tahoma" w:cs="Tahoma"/>
          <w:sz w:val="20"/>
          <w:szCs w:val="20"/>
        </w:rPr>
        <w:t>. Rozpočtové opatření bude kryto vratkami  příspěvkových organizací do rozpočtu zřizovatele (nedočerpané účelové prostředky</w:t>
      </w:r>
      <w:r w:rsidR="00C04921">
        <w:rPr>
          <w:rFonts w:ascii="Tahoma" w:eastAsia="MS Mincho" w:hAnsi="Tahoma" w:cs="Tahoma"/>
          <w:sz w:val="20"/>
          <w:szCs w:val="20"/>
        </w:rPr>
        <w:t xml:space="preserve"> na energie roku 2024).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1559"/>
      </w:tblGrid>
      <w:tr w:rsidR="00DC268C" w:rsidRPr="00332056" w:rsidTr="00B33BA5">
        <w:tc>
          <w:tcPr>
            <w:tcW w:w="2268" w:type="dxa"/>
          </w:tcPr>
          <w:p w:rsidR="00DC268C" w:rsidRPr="00332056" w:rsidRDefault="00DC268C" w:rsidP="00B33BA5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DC268C" w:rsidRPr="00332056" w:rsidRDefault="00DC268C" w:rsidP="00B33BA5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559" w:type="dxa"/>
          </w:tcPr>
          <w:p w:rsidR="00DC268C" w:rsidRPr="00332056" w:rsidRDefault="00DC268C" w:rsidP="00B33BA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268C" w:rsidRPr="00332056" w:rsidTr="00B33BA5">
        <w:tc>
          <w:tcPr>
            <w:tcW w:w="2268" w:type="dxa"/>
          </w:tcPr>
          <w:p w:rsidR="00DC268C" w:rsidRPr="00332056" w:rsidRDefault="00DC268C" w:rsidP="00C0492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DC268C" w:rsidRPr="00332056" w:rsidRDefault="00DC268C" w:rsidP="00C0492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559" w:type="dxa"/>
          </w:tcPr>
          <w:p w:rsidR="00DC268C" w:rsidRPr="00332056" w:rsidRDefault="00DC268C" w:rsidP="00C0492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B24A0" w:rsidRPr="00DC268C" w:rsidRDefault="00DB24A0" w:rsidP="00F70946">
      <w:pPr>
        <w:jc w:val="both"/>
        <w:rPr>
          <w:rFonts w:ascii="Tahoma" w:hAnsi="Tahoma" w:cs="Tahoma"/>
          <w:b/>
          <w:bCs/>
          <w:sz w:val="16"/>
          <w:szCs w:val="16"/>
        </w:rPr>
      </w:pPr>
    </w:p>
    <w:p w:rsidR="005C5386" w:rsidRPr="000360B5" w:rsidRDefault="005C5386" w:rsidP="005C5386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17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>
        <w:rPr>
          <w:rFonts w:ascii="Tahoma" w:hAnsi="Tahoma" w:cs="Tahoma"/>
          <w:b/>
          <w:sz w:val="20"/>
          <w:szCs w:val="20"/>
        </w:rPr>
        <w:t>410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351,60</w:t>
      </w:r>
      <w:r w:rsidRPr="000360B5">
        <w:rPr>
          <w:rFonts w:ascii="Tahoma" w:hAnsi="Tahoma" w:cs="Tahoma"/>
          <w:b/>
          <w:sz w:val="20"/>
          <w:szCs w:val="20"/>
        </w:rPr>
        <w:t xml:space="preserve"> Kč</w:t>
      </w:r>
    </w:p>
    <w:p w:rsidR="005C5386" w:rsidRDefault="005C5386" w:rsidP="005C53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B840F0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é</w:t>
      </w:r>
      <w:r w:rsidRPr="00B840F0">
        <w:rPr>
          <w:rFonts w:ascii="Tahoma" w:hAnsi="Tahoma" w:cs="Tahoma"/>
          <w:sz w:val="20"/>
          <w:szCs w:val="20"/>
        </w:rPr>
        <w:t xml:space="preserve"> neinvestiční dotac</w:t>
      </w:r>
      <w:r>
        <w:rPr>
          <w:rFonts w:ascii="Tahoma" w:hAnsi="Tahoma" w:cs="Tahoma"/>
          <w:sz w:val="20"/>
          <w:szCs w:val="20"/>
        </w:rPr>
        <w:t xml:space="preserve">e </w:t>
      </w:r>
      <w:r w:rsidRPr="00B840F0">
        <w:rPr>
          <w:rFonts w:ascii="Tahoma" w:hAnsi="Tahoma" w:cs="Tahoma"/>
          <w:sz w:val="20"/>
          <w:szCs w:val="20"/>
        </w:rPr>
        <w:t xml:space="preserve">pro </w:t>
      </w:r>
      <w:r>
        <w:rPr>
          <w:rFonts w:ascii="Tahoma" w:hAnsi="Tahoma" w:cs="Tahoma"/>
          <w:sz w:val="20"/>
          <w:szCs w:val="20"/>
        </w:rPr>
        <w:t>příspěvkovou organizaci MŠ Holečkova Strakonice</w:t>
      </w:r>
      <w:r w:rsidRPr="00B840F0">
        <w:rPr>
          <w:rFonts w:ascii="Tahoma" w:hAnsi="Tahoma" w:cs="Tahoma"/>
          <w:sz w:val="20"/>
          <w:szCs w:val="20"/>
        </w:rPr>
        <w:t xml:space="preserve"> za účelem</w:t>
      </w:r>
      <w:r>
        <w:rPr>
          <w:rFonts w:ascii="Tahoma" w:hAnsi="Tahoma" w:cs="Tahoma"/>
          <w:sz w:val="20"/>
          <w:szCs w:val="20"/>
        </w:rPr>
        <w:t>:</w:t>
      </w:r>
    </w:p>
    <w:p w:rsidR="005C5386" w:rsidRDefault="005C5386" w:rsidP="005C5386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5C5386">
        <w:rPr>
          <w:rFonts w:ascii="Tahoma" w:hAnsi="Tahoma" w:cs="Tahoma"/>
          <w:sz w:val="20"/>
          <w:szCs w:val="20"/>
        </w:rPr>
        <w:t>zajištění bezplatného školního stravování</w:t>
      </w:r>
      <w:r>
        <w:rPr>
          <w:rFonts w:ascii="Tahoma" w:hAnsi="Tahoma" w:cs="Tahoma"/>
          <w:sz w:val="20"/>
          <w:szCs w:val="20"/>
        </w:rPr>
        <w:t xml:space="preserve"> ve výši 7.335,00 Kč</w:t>
      </w:r>
    </w:p>
    <w:p w:rsidR="005C5386" w:rsidRPr="005C5386" w:rsidRDefault="005C5386" w:rsidP="005C5386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zajištění projektu Operační program Jana Amose Komenského (OP JAK) ve výši 403.016,60 Kč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268"/>
        <w:gridCol w:w="2126"/>
      </w:tblGrid>
      <w:tr w:rsidR="005C5386" w:rsidRPr="00AC0677" w:rsidTr="005C5386">
        <w:tc>
          <w:tcPr>
            <w:tcW w:w="2265" w:type="dxa"/>
          </w:tcPr>
          <w:p w:rsidR="005C5386" w:rsidRPr="00AC0677" w:rsidRDefault="005C5386" w:rsidP="003E14B3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5C5386" w:rsidRPr="00AC0677" w:rsidRDefault="00DC268C" w:rsidP="003E14B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5C5386" w:rsidRPr="00AC0677" w:rsidRDefault="005C5386" w:rsidP="005C538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C268C"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DC268C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C268C">
              <w:rPr>
                <w:rFonts w:ascii="Tahoma" w:hAnsi="Tahoma" w:cs="Tahoma"/>
                <w:sz w:val="20"/>
                <w:szCs w:val="20"/>
              </w:rPr>
              <w:t>5336</w:t>
            </w:r>
          </w:p>
        </w:tc>
        <w:tc>
          <w:tcPr>
            <w:tcW w:w="2126" w:type="dxa"/>
          </w:tcPr>
          <w:p w:rsidR="005C5386" w:rsidRPr="00AC0677" w:rsidRDefault="005C5386" w:rsidP="003E14B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  <w:r>
              <w:rPr>
                <w:rFonts w:ascii="Tahoma" w:hAnsi="Tahoma" w:cs="Tahoma"/>
                <w:sz w:val="20"/>
                <w:szCs w:val="20"/>
              </w:rPr>
              <w:t>, 33 092</w:t>
            </w:r>
          </w:p>
        </w:tc>
      </w:tr>
      <w:tr w:rsidR="005C5386" w:rsidRPr="00AC0677" w:rsidTr="005C5386">
        <w:tc>
          <w:tcPr>
            <w:tcW w:w="2265" w:type="dxa"/>
          </w:tcPr>
          <w:p w:rsidR="005C5386" w:rsidRPr="00AC0677" w:rsidRDefault="005C5386" w:rsidP="003E14B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5C5386" w:rsidRPr="00AC0677" w:rsidRDefault="00DC268C" w:rsidP="003E14B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5C5386" w:rsidRPr="00AC0677" w:rsidRDefault="00DC268C" w:rsidP="005C538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0000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41xx</w:t>
            </w:r>
          </w:p>
        </w:tc>
        <w:tc>
          <w:tcPr>
            <w:tcW w:w="2126" w:type="dxa"/>
          </w:tcPr>
          <w:p w:rsidR="005C5386" w:rsidRPr="00AC0677" w:rsidRDefault="005C5386" w:rsidP="003E14B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  <w:r>
              <w:rPr>
                <w:rFonts w:ascii="Tahoma" w:hAnsi="Tahoma" w:cs="Tahoma"/>
                <w:sz w:val="20"/>
                <w:szCs w:val="20"/>
              </w:rPr>
              <w:t>, 33 092</w:t>
            </w:r>
          </w:p>
        </w:tc>
      </w:tr>
    </w:tbl>
    <w:p w:rsidR="005C5386" w:rsidRDefault="005C5386" w:rsidP="00F709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AB0F7A" w:rsidRPr="00B91E9F" w:rsidRDefault="00AB0F7A" w:rsidP="00C71030">
      <w:pPr>
        <w:jc w:val="both"/>
        <w:rPr>
          <w:rFonts w:ascii="Tahoma" w:hAnsi="Tahoma" w:cs="Tahoma"/>
          <w:sz w:val="20"/>
          <w:szCs w:val="20"/>
        </w:rPr>
      </w:pPr>
    </w:p>
    <w:p w:rsidR="00AB0F7A" w:rsidRDefault="002C5E3E" w:rsidP="000360B5">
      <w:pPr>
        <w:pStyle w:val="Nadpis2"/>
        <w:numPr>
          <w:ilvl w:val="0"/>
          <w:numId w:val="21"/>
        </w:numPr>
        <w:rPr>
          <w:rFonts w:ascii="Tahoma" w:hAnsi="Tahoma" w:cs="Tahoma"/>
          <w:sz w:val="24"/>
        </w:rPr>
      </w:pPr>
      <w:proofErr w:type="spellStart"/>
      <w:r>
        <w:rPr>
          <w:rFonts w:ascii="Tahoma" w:hAnsi="Tahoma" w:cs="Tahoma"/>
          <w:sz w:val="24"/>
        </w:rPr>
        <w:t>M</w:t>
      </w:r>
      <w:r w:rsidR="00C04921">
        <w:rPr>
          <w:rFonts w:ascii="Tahoma" w:hAnsi="Tahoma" w:cs="Tahoma"/>
          <w:sz w:val="24"/>
        </w:rPr>
        <w:t>ěÚSS</w:t>
      </w:r>
      <w:proofErr w:type="spellEnd"/>
      <w:r w:rsidR="00C04921">
        <w:rPr>
          <w:rFonts w:ascii="Tahoma" w:hAnsi="Tahoma" w:cs="Tahoma"/>
          <w:sz w:val="24"/>
        </w:rPr>
        <w:t xml:space="preserve"> Strakonice </w:t>
      </w:r>
      <w:r w:rsidR="006D08FB">
        <w:rPr>
          <w:rFonts w:ascii="Tahoma" w:hAnsi="Tahoma" w:cs="Tahoma"/>
          <w:sz w:val="24"/>
        </w:rPr>
        <w:t>– použití investičního fondu</w:t>
      </w:r>
    </w:p>
    <w:p w:rsidR="00AB0F7A" w:rsidRPr="00DC268C" w:rsidRDefault="00AB0F7A" w:rsidP="00AB0F7A">
      <w:pPr>
        <w:rPr>
          <w:rFonts w:ascii="Tahoma" w:hAnsi="Tahoma" w:cs="Tahoma"/>
          <w:sz w:val="16"/>
          <w:szCs w:val="16"/>
        </w:rPr>
      </w:pPr>
    </w:p>
    <w:p w:rsidR="00AB0F7A" w:rsidRPr="00DD060F" w:rsidRDefault="00AB0F7A" w:rsidP="00AB0F7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DD060F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AB0F7A" w:rsidRDefault="00AB0F7A" w:rsidP="00AB0F7A">
      <w:pPr>
        <w:rPr>
          <w:rFonts w:ascii="Tahoma" w:hAnsi="Tahoma" w:cs="Tahoma"/>
          <w:sz w:val="20"/>
          <w:szCs w:val="20"/>
        </w:rPr>
      </w:pPr>
      <w:r w:rsidRPr="00DD060F">
        <w:rPr>
          <w:rFonts w:ascii="Tahoma" w:hAnsi="Tahoma" w:cs="Tahoma"/>
          <w:sz w:val="20"/>
          <w:szCs w:val="20"/>
        </w:rPr>
        <w:t>Rada města po projednání</w:t>
      </w:r>
    </w:p>
    <w:p w:rsidR="00AB0F7A" w:rsidRPr="00DC268C" w:rsidRDefault="00AB0F7A" w:rsidP="00AB0F7A">
      <w:pPr>
        <w:rPr>
          <w:rFonts w:ascii="Tahoma" w:hAnsi="Tahoma" w:cs="Tahoma"/>
          <w:sz w:val="16"/>
          <w:szCs w:val="16"/>
        </w:rPr>
      </w:pPr>
    </w:p>
    <w:p w:rsidR="00AB0F7A" w:rsidRPr="00DD060F" w:rsidRDefault="00AB0F7A" w:rsidP="00AB0F7A">
      <w:pPr>
        <w:pStyle w:val="Nadpis3"/>
        <w:rPr>
          <w:snapToGrid w:val="0"/>
          <w:sz w:val="20"/>
          <w:szCs w:val="20"/>
        </w:rPr>
      </w:pPr>
      <w:r w:rsidRPr="00DD060F">
        <w:rPr>
          <w:snapToGrid w:val="0"/>
          <w:sz w:val="20"/>
          <w:szCs w:val="20"/>
        </w:rPr>
        <w:t>I. S</w:t>
      </w:r>
      <w:r>
        <w:rPr>
          <w:snapToGrid w:val="0"/>
          <w:sz w:val="20"/>
          <w:szCs w:val="20"/>
        </w:rPr>
        <w:t>chvaluje</w:t>
      </w:r>
    </w:p>
    <w:p w:rsidR="004D332A" w:rsidRDefault="004D332A" w:rsidP="004D332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rozšíření použití invest</w:t>
      </w:r>
      <w:r w:rsidR="006D08FB">
        <w:rPr>
          <w:rFonts w:ascii="Tahoma" w:hAnsi="Tahoma" w:cs="Tahoma"/>
          <w:sz w:val="20"/>
          <w:szCs w:val="20"/>
        </w:rPr>
        <w:t>ičního fondu příspěvkové organizace</w:t>
      </w:r>
      <w:r w:rsidR="006F61A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F5741"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na nutné investiční nákupy organizace: </w:t>
      </w:r>
      <w:proofErr w:type="spellStart"/>
      <w:r>
        <w:rPr>
          <w:rFonts w:ascii="Tahoma" w:hAnsi="Tahoma" w:cs="Tahoma"/>
          <w:sz w:val="20"/>
          <w:szCs w:val="20"/>
        </w:rPr>
        <w:t>gastro</w:t>
      </w:r>
      <w:proofErr w:type="spellEnd"/>
      <w:r>
        <w:rPr>
          <w:rFonts w:ascii="Tahoma" w:hAnsi="Tahoma" w:cs="Tahoma"/>
          <w:sz w:val="20"/>
          <w:szCs w:val="20"/>
        </w:rPr>
        <w:t xml:space="preserve"> zařízení, modernizace vzduchotechniky hlavní kuchyně DS Lidická, vestavěné skříně, skladové regály, stropní roleta, renovace hydroizolace budovy Azylového domu, a to při zachování </w:t>
      </w:r>
      <w:r w:rsidR="006A7759">
        <w:rPr>
          <w:rFonts w:ascii="Tahoma" w:hAnsi="Tahoma" w:cs="Tahoma"/>
          <w:sz w:val="20"/>
          <w:szCs w:val="20"/>
        </w:rPr>
        <w:t xml:space="preserve">schválené </w:t>
      </w:r>
      <w:r>
        <w:rPr>
          <w:rFonts w:ascii="Tahoma" w:hAnsi="Tahoma" w:cs="Tahoma"/>
          <w:sz w:val="20"/>
          <w:szCs w:val="20"/>
        </w:rPr>
        <w:t>částky použití investičního fondu pro rok 2025, tj. 7.700.000 Kč.</w:t>
      </w:r>
    </w:p>
    <w:p w:rsidR="00DC268C" w:rsidRDefault="00DC268C" w:rsidP="004D332A">
      <w:pPr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DC268C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40C3D"/>
    <w:multiLevelType w:val="hybridMultilevel"/>
    <w:tmpl w:val="4F2A7DF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00DC7"/>
    <w:multiLevelType w:val="hybridMultilevel"/>
    <w:tmpl w:val="63E273D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E64E6"/>
    <w:multiLevelType w:val="hybridMultilevel"/>
    <w:tmpl w:val="30B267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23"/>
  </w:num>
  <w:num w:numId="5">
    <w:abstractNumId w:val="8"/>
  </w:num>
  <w:num w:numId="6">
    <w:abstractNumId w:val="1"/>
  </w:num>
  <w:num w:numId="7">
    <w:abstractNumId w:val="14"/>
  </w:num>
  <w:num w:numId="8">
    <w:abstractNumId w:val="22"/>
  </w:num>
  <w:num w:numId="9">
    <w:abstractNumId w:val="12"/>
  </w:num>
  <w:num w:numId="10">
    <w:abstractNumId w:val="19"/>
  </w:num>
  <w:num w:numId="11">
    <w:abstractNumId w:val="20"/>
  </w:num>
  <w:num w:numId="12">
    <w:abstractNumId w:val="6"/>
  </w:num>
  <w:num w:numId="13">
    <w:abstractNumId w:val="9"/>
  </w:num>
  <w:num w:numId="14">
    <w:abstractNumId w:val="18"/>
  </w:num>
  <w:num w:numId="15">
    <w:abstractNumId w:val="4"/>
  </w:num>
  <w:num w:numId="16">
    <w:abstractNumId w:val="15"/>
  </w:num>
  <w:num w:numId="17">
    <w:abstractNumId w:val="11"/>
  </w:num>
  <w:num w:numId="18">
    <w:abstractNumId w:val="21"/>
  </w:num>
  <w:num w:numId="19">
    <w:abstractNumId w:val="3"/>
  </w:num>
  <w:num w:numId="20">
    <w:abstractNumId w:val="0"/>
  </w:num>
  <w:num w:numId="21">
    <w:abstractNumId w:val="10"/>
  </w:num>
  <w:num w:numId="22">
    <w:abstractNumId w:val="16"/>
  </w:num>
  <w:num w:numId="23">
    <w:abstractNumId w:val="2"/>
  </w:num>
  <w:num w:numId="24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isplayBackgroundShape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5E54"/>
    <w:rsid w:val="00006C2A"/>
    <w:rsid w:val="00010BCB"/>
    <w:rsid w:val="00021116"/>
    <w:rsid w:val="0002435F"/>
    <w:rsid w:val="000309F4"/>
    <w:rsid w:val="000333ED"/>
    <w:rsid w:val="00033E0D"/>
    <w:rsid w:val="000360B5"/>
    <w:rsid w:val="00040A9B"/>
    <w:rsid w:val="0005192E"/>
    <w:rsid w:val="00055019"/>
    <w:rsid w:val="00055A1F"/>
    <w:rsid w:val="000571CE"/>
    <w:rsid w:val="0005778D"/>
    <w:rsid w:val="000616FE"/>
    <w:rsid w:val="00061B64"/>
    <w:rsid w:val="00063D67"/>
    <w:rsid w:val="00074149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B3836"/>
    <w:rsid w:val="000B67A7"/>
    <w:rsid w:val="000B7A3A"/>
    <w:rsid w:val="000C46F8"/>
    <w:rsid w:val="000D1524"/>
    <w:rsid w:val="000D2100"/>
    <w:rsid w:val="000D270A"/>
    <w:rsid w:val="000F393F"/>
    <w:rsid w:val="000F6585"/>
    <w:rsid w:val="00103821"/>
    <w:rsid w:val="00111C7C"/>
    <w:rsid w:val="00131B5F"/>
    <w:rsid w:val="00145E59"/>
    <w:rsid w:val="00146CFD"/>
    <w:rsid w:val="001528F0"/>
    <w:rsid w:val="001557B3"/>
    <w:rsid w:val="00156487"/>
    <w:rsid w:val="00162E5D"/>
    <w:rsid w:val="00162F81"/>
    <w:rsid w:val="00163BB5"/>
    <w:rsid w:val="001718D2"/>
    <w:rsid w:val="00181A7F"/>
    <w:rsid w:val="0019325D"/>
    <w:rsid w:val="00197C73"/>
    <w:rsid w:val="001A00E0"/>
    <w:rsid w:val="001A0B59"/>
    <w:rsid w:val="001A2A84"/>
    <w:rsid w:val="001B08BC"/>
    <w:rsid w:val="001B3E76"/>
    <w:rsid w:val="001C0AF4"/>
    <w:rsid w:val="001C214C"/>
    <w:rsid w:val="001D3F99"/>
    <w:rsid w:val="001D435E"/>
    <w:rsid w:val="001D46DC"/>
    <w:rsid w:val="001D4C18"/>
    <w:rsid w:val="001E0B88"/>
    <w:rsid w:val="001E1BD4"/>
    <w:rsid w:val="001E2399"/>
    <w:rsid w:val="001E29FB"/>
    <w:rsid w:val="001E6129"/>
    <w:rsid w:val="001F356D"/>
    <w:rsid w:val="002001FF"/>
    <w:rsid w:val="0020331F"/>
    <w:rsid w:val="002052A9"/>
    <w:rsid w:val="0020649D"/>
    <w:rsid w:val="0022651F"/>
    <w:rsid w:val="00235490"/>
    <w:rsid w:val="00236EFD"/>
    <w:rsid w:val="002507BB"/>
    <w:rsid w:val="00253710"/>
    <w:rsid w:val="00254FBF"/>
    <w:rsid w:val="002561A9"/>
    <w:rsid w:val="002659EA"/>
    <w:rsid w:val="002667D8"/>
    <w:rsid w:val="00266E96"/>
    <w:rsid w:val="0027122A"/>
    <w:rsid w:val="00276B92"/>
    <w:rsid w:val="00285EEE"/>
    <w:rsid w:val="00293585"/>
    <w:rsid w:val="002A0DCE"/>
    <w:rsid w:val="002A58B2"/>
    <w:rsid w:val="002A740E"/>
    <w:rsid w:val="002C5E3E"/>
    <w:rsid w:val="002C71FD"/>
    <w:rsid w:val="002D2023"/>
    <w:rsid w:val="002E0191"/>
    <w:rsid w:val="002E2FE7"/>
    <w:rsid w:val="002F4699"/>
    <w:rsid w:val="002F50E2"/>
    <w:rsid w:val="002F55E8"/>
    <w:rsid w:val="002F5741"/>
    <w:rsid w:val="002F6CFB"/>
    <w:rsid w:val="00302C4E"/>
    <w:rsid w:val="00303DEC"/>
    <w:rsid w:val="00310937"/>
    <w:rsid w:val="003129BF"/>
    <w:rsid w:val="0032121B"/>
    <w:rsid w:val="00330D85"/>
    <w:rsid w:val="00332A8E"/>
    <w:rsid w:val="00335995"/>
    <w:rsid w:val="00343CA2"/>
    <w:rsid w:val="00346384"/>
    <w:rsid w:val="003525F5"/>
    <w:rsid w:val="003542EA"/>
    <w:rsid w:val="003649D8"/>
    <w:rsid w:val="00366898"/>
    <w:rsid w:val="00384587"/>
    <w:rsid w:val="003904E1"/>
    <w:rsid w:val="00396CCD"/>
    <w:rsid w:val="003A1B98"/>
    <w:rsid w:val="003A7310"/>
    <w:rsid w:val="003B0C04"/>
    <w:rsid w:val="003C1C5D"/>
    <w:rsid w:val="003C2BA6"/>
    <w:rsid w:val="003D0969"/>
    <w:rsid w:val="003D24D8"/>
    <w:rsid w:val="003D3BBC"/>
    <w:rsid w:val="003D4379"/>
    <w:rsid w:val="003F6B0A"/>
    <w:rsid w:val="004016E1"/>
    <w:rsid w:val="00413FC7"/>
    <w:rsid w:val="0041473E"/>
    <w:rsid w:val="0041491D"/>
    <w:rsid w:val="00420E34"/>
    <w:rsid w:val="00423D69"/>
    <w:rsid w:val="00427E0F"/>
    <w:rsid w:val="00430E5E"/>
    <w:rsid w:val="00432BD3"/>
    <w:rsid w:val="00435F44"/>
    <w:rsid w:val="004373BC"/>
    <w:rsid w:val="004424C9"/>
    <w:rsid w:val="00443FEA"/>
    <w:rsid w:val="0044514F"/>
    <w:rsid w:val="004567DB"/>
    <w:rsid w:val="0046610D"/>
    <w:rsid w:val="00476B0D"/>
    <w:rsid w:val="004859E9"/>
    <w:rsid w:val="00487563"/>
    <w:rsid w:val="004875EF"/>
    <w:rsid w:val="0049228B"/>
    <w:rsid w:val="004965D7"/>
    <w:rsid w:val="004A3970"/>
    <w:rsid w:val="004A3ED8"/>
    <w:rsid w:val="004A4A98"/>
    <w:rsid w:val="004A62F1"/>
    <w:rsid w:val="004B02D8"/>
    <w:rsid w:val="004B4F79"/>
    <w:rsid w:val="004C1AF5"/>
    <w:rsid w:val="004C4A61"/>
    <w:rsid w:val="004C6DA1"/>
    <w:rsid w:val="004D1F8A"/>
    <w:rsid w:val="004D332A"/>
    <w:rsid w:val="004D333F"/>
    <w:rsid w:val="004E5BBA"/>
    <w:rsid w:val="004F044A"/>
    <w:rsid w:val="004F1663"/>
    <w:rsid w:val="004F4C79"/>
    <w:rsid w:val="004F7BC5"/>
    <w:rsid w:val="0050022B"/>
    <w:rsid w:val="0050290D"/>
    <w:rsid w:val="00504688"/>
    <w:rsid w:val="005059B4"/>
    <w:rsid w:val="00510EEC"/>
    <w:rsid w:val="0051287E"/>
    <w:rsid w:val="00517B13"/>
    <w:rsid w:val="00530595"/>
    <w:rsid w:val="00535BAE"/>
    <w:rsid w:val="005369C1"/>
    <w:rsid w:val="00536ABE"/>
    <w:rsid w:val="0053799C"/>
    <w:rsid w:val="00540BD2"/>
    <w:rsid w:val="00551605"/>
    <w:rsid w:val="005540EB"/>
    <w:rsid w:val="005547B5"/>
    <w:rsid w:val="005564FE"/>
    <w:rsid w:val="00560C51"/>
    <w:rsid w:val="005704C2"/>
    <w:rsid w:val="005728EC"/>
    <w:rsid w:val="00574996"/>
    <w:rsid w:val="005754FD"/>
    <w:rsid w:val="00580055"/>
    <w:rsid w:val="0059119D"/>
    <w:rsid w:val="00591F29"/>
    <w:rsid w:val="005957CE"/>
    <w:rsid w:val="005A27CF"/>
    <w:rsid w:val="005A4D88"/>
    <w:rsid w:val="005A6944"/>
    <w:rsid w:val="005B05DF"/>
    <w:rsid w:val="005B3B4F"/>
    <w:rsid w:val="005B585B"/>
    <w:rsid w:val="005C4CDA"/>
    <w:rsid w:val="005C5386"/>
    <w:rsid w:val="005C6627"/>
    <w:rsid w:val="005D24D0"/>
    <w:rsid w:val="005D349A"/>
    <w:rsid w:val="005E6B86"/>
    <w:rsid w:val="005E7020"/>
    <w:rsid w:val="005F51E7"/>
    <w:rsid w:val="005F64D4"/>
    <w:rsid w:val="00601A63"/>
    <w:rsid w:val="006023BB"/>
    <w:rsid w:val="006025F7"/>
    <w:rsid w:val="00603C4E"/>
    <w:rsid w:val="00607B98"/>
    <w:rsid w:val="00624D07"/>
    <w:rsid w:val="00627007"/>
    <w:rsid w:val="00644239"/>
    <w:rsid w:val="0065668E"/>
    <w:rsid w:val="00665CB9"/>
    <w:rsid w:val="00675D47"/>
    <w:rsid w:val="00681539"/>
    <w:rsid w:val="00684588"/>
    <w:rsid w:val="006909E9"/>
    <w:rsid w:val="006919E6"/>
    <w:rsid w:val="006A13E3"/>
    <w:rsid w:val="006A7759"/>
    <w:rsid w:val="006D08FB"/>
    <w:rsid w:val="006D28B5"/>
    <w:rsid w:val="006D4B8A"/>
    <w:rsid w:val="006D7E20"/>
    <w:rsid w:val="006F2A16"/>
    <w:rsid w:val="006F51BC"/>
    <w:rsid w:val="006F61A6"/>
    <w:rsid w:val="0070096F"/>
    <w:rsid w:val="007028A9"/>
    <w:rsid w:val="00706DA2"/>
    <w:rsid w:val="00707CC5"/>
    <w:rsid w:val="007137D3"/>
    <w:rsid w:val="00713C37"/>
    <w:rsid w:val="00713F13"/>
    <w:rsid w:val="00716D9A"/>
    <w:rsid w:val="00733638"/>
    <w:rsid w:val="007350C6"/>
    <w:rsid w:val="00737F18"/>
    <w:rsid w:val="0074121C"/>
    <w:rsid w:val="00741771"/>
    <w:rsid w:val="00744EC5"/>
    <w:rsid w:val="00745316"/>
    <w:rsid w:val="00752158"/>
    <w:rsid w:val="00756FB3"/>
    <w:rsid w:val="00757D48"/>
    <w:rsid w:val="0076257A"/>
    <w:rsid w:val="007646C3"/>
    <w:rsid w:val="00766A02"/>
    <w:rsid w:val="00766FD7"/>
    <w:rsid w:val="0077494C"/>
    <w:rsid w:val="00775EB2"/>
    <w:rsid w:val="00777241"/>
    <w:rsid w:val="00784F7D"/>
    <w:rsid w:val="00785C9A"/>
    <w:rsid w:val="00791761"/>
    <w:rsid w:val="007A5C64"/>
    <w:rsid w:val="007B4854"/>
    <w:rsid w:val="007C02BE"/>
    <w:rsid w:val="007C3D07"/>
    <w:rsid w:val="007C443A"/>
    <w:rsid w:val="007C49B7"/>
    <w:rsid w:val="007D1E4B"/>
    <w:rsid w:val="007D2919"/>
    <w:rsid w:val="007E12DC"/>
    <w:rsid w:val="007E6C28"/>
    <w:rsid w:val="007F26CF"/>
    <w:rsid w:val="00801D91"/>
    <w:rsid w:val="00804443"/>
    <w:rsid w:val="008077E5"/>
    <w:rsid w:val="00811752"/>
    <w:rsid w:val="00812B1C"/>
    <w:rsid w:val="008175E6"/>
    <w:rsid w:val="00823835"/>
    <w:rsid w:val="00823BB3"/>
    <w:rsid w:val="00830221"/>
    <w:rsid w:val="00830A99"/>
    <w:rsid w:val="0083420A"/>
    <w:rsid w:val="008350CB"/>
    <w:rsid w:val="00835EA1"/>
    <w:rsid w:val="00842265"/>
    <w:rsid w:val="00862E41"/>
    <w:rsid w:val="0086319E"/>
    <w:rsid w:val="0087011F"/>
    <w:rsid w:val="00875B20"/>
    <w:rsid w:val="00886780"/>
    <w:rsid w:val="00887535"/>
    <w:rsid w:val="00893ACE"/>
    <w:rsid w:val="008A0677"/>
    <w:rsid w:val="008A1DEC"/>
    <w:rsid w:val="008A60AC"/>
    <w:rsid w:val="008C616F"/>
    <w:rsid w:val="008E1865"/>
    <w:rsid w:val="008E787F"/>
    <w:rsid w:val="008F6620"/>
    <w:rsid w:val="008F700F"/>
    <w:rsid w:val="0090030C"/>
    <w:rsid w:val="009071BF"/>
    <w:rsid w:val="00911A5B"/>
    <w:rsid w:val="009172CB"/>
    <w:rsid w:val="00923F7B"/>
    <w:rsid w:val="00924300"/>
    <w:rsid w:val="0092514A"/>
    <w:rsid w:val="00940006"/>
    <w:rsid w:val="009443B8"/>
    <w:rsid w:val="00944ED9"/>
    <w:rsid w:val="00957092"/>
    <w:rsid w:val="00960BB8"/>
    <w:rsid w:val="00960D8E"/>
    <w:rsid w:val="009631C7"/>
    <w:rsid w:val="009733D4"/>
    <w:rsid w:val="009743D3"/>
    <w:rsid w:val="0099514C"/>
    <w:rsid w:val="0099679A"/>
    <w:rsid w:val="009C1366"/>
    <w:rsid w:val="009C2057"/>
    <w:rsid w:val="009C354C"/>
    <w:rsid w:val="009D1749"/>
    <w:rsid w:val="009D6321"/>
    <w:rsid w:val="009D6BD0"/>
    <w:rsid w:val="009F2E8F"/>
    <w:rsid w:val="009F4B41"/>
    <w:rsid w:val="009F605A"/>
    <w:rsid w:val="00A17B09"/>
    <w:rsid w:val="00A23D88"/>
    <w:rsid w:val="00A35D37"/>
    <w:rsid w:val="00A429B5"/>
    <w:rsid w:val="00A4484E"/>
    <w:rsid w:val="00A44D9B"/>
    <w:rsid w:val="00A47467"/>
    <w:rsid w:val="00A530A5"/>
    <w:rsid w:val="00A721EA"/>
    <w:rsid w:val="00A72E57"/>
    <w:rsid w:val="00A75FB6"/>
    <w:rsid w:val="00A7653E"/>
    <w:rsid w:val="00A7737C"/>
    <w:rsid w:val="00A8301E"/>
    <w:rsid w:val="00A8799C"/>
    <w:rsid w:val="00A906C9"/>
    <w:rsid w:val="00A9686E"/>
    <w:rsid w:val="00A969F7"/>
    <w:rsid w:val="00AA1B70"/>
    <w:rsid w:val="00AA3577"/>
    <w:rsid w:val="00AA35D0"/>
    <w:rsid w:val="00AA71BE"/>
    <w:rsid w:val="00AA7B97"/>
    <w:rsid w:val="00AB08FB"/>
    <w:rsid w:val="00AB0F7A"/>
    <w:rsid w:val="00AB42B5"/>
    <w:rsid w:val="00AB534F"/>
    <w:rsid w:val="00AC0059"/>
    <w:rsid w:val="00AC544F"/>
    <w:rsid w:val="00AD26BA"/>
    <w:rsid w:val="00AE0F67"/>
    <w:rsid w:val="00AE68DE"/>
    <w:rsid w:val="00AE7143"/>
    <w:rsid w:val="00B00AFC"/>
    <w:rsid w:val="00B02E51"/>
    <w:rsid w:val="00B02E9D"/>
    <w:rsid w:val="00B10BB8"/>
    <w:rsid w:val="00B1527E"/>
    <w:rsid w:val="00B16789"/>
    <w:rsid w:val="00B2634F"/>
    <w:rsid w:val="00B27A31"/>
    <w:rsid w:val="00B3148A"/>
    <w:rsid w:val="00B34676"/>
    <w:rsid w:val="00B41C0D"/>
    <w:rsid w:val="00B42EA1"/>
    <w:rsid w:val="00B474BA"/>
    <w:rsid w:val="00B64612"/>
    <w:rsid w:val="00B7322A"/>
    <w:rsid w:val="00B732EF"/>
    <w:rsid w:val="00B757C6"/>
    <w:rsid w:val="00B853EE"/>
    <w:rsid w:val="00B870FA"/>
    <w:rsid w:val="00B91E9F"/>
    <w:rsid w:val="00BA0C75"/>
    <w:rsid w:val="00BB6490"/>
    <w:rsid w:val="00BC26A1"/>
    <w:rsid w:val="00BD0E0D"/>
    <w:rsid w:val="00BE4CCB"/>
    <w:rsid w:val="00BE6F8E"/>
    <w:rsid w:val="00BF0D43"/>
    <w:rsid w:val="00BF2B18"/>
    <w:rsid w:val="00BF5DCA"/>
    <w:rsid w:val="00BF7DB9"/>
    <w:rsid w:val="00C04921"/>
    <w:rsid w:val="00C131F2"/>
    <w:rsid w:val="00C15CEF"/>
    <w:rsid w:val="00C1680B"/>
    <w:rsid w:val="00C26516"/>
    <w:rsid w:val="00C4033F"/>
    <w:rsid w:val="00C4504E"/>
    <w:rsid w:val="00C50F96"/>
    <w:rsid w:val="00C605E8"/>
    <w:rsid w:val="00C63C26"/>
    <w:rsid w:val="00C71030"/>
    <w:rsid w:val="00C71434"/>
    <w:rsid w:val="00C82287"/>
    <w:rsid w:val="00C915C9"/>
    <w:rsid w:val="00CA4AA8"/>
    <w:rsid w:val="00CA4E22"/>
    <w:rsid w:val="00CB3152"/>
    <w:rsid w:val="00CB3A03"/>
    <w:rsid w:val="00CB4BB8"/>
    <w:rsid w:val="00CB5134"/>
    <w:rsid w:val="00CB5D70"/>
    <w:rsid w:val="00CD2D60"/>
    <w:rsid w:val="00CD3AD8"/>
    <w:rsid w:val="00CE024E"/>
    <w:rsid w:val="00CE2F74"/>
    <w:rsid w:val="00D04A26"/>
    <w:rsid w:val="00D1199D"/>
    <w:rsid w:val="00D17CD4"/>
    <w:rsid w:val="00D2069F"/>
    <w:rsid w:val="00D24AE9"/>
    <w:rsid w:val="00D3150F"/>
    <w:rsid w:val="00D35652"/>
    <w:rsid w:val="00D46A49"/>
    <w:rsid w:val="00D502BE"/>
    <w:rsid w:val="00D519E3"/>
    <w:rsid w:val="00D54035"/>
    <w:rsid w:val="00D57431"/>
    <w:rsid w:val="00D72311"/>
    <w:rsid w:val="00D728EE"/>
    <w:rsid w:val="00D824AF"/>
    <w:rsid w:val="00D92A1E"/>
    <w:rsid w:val="00D976D0"/>
    <w:rsid w:val="00DA1110"/>
    <w:rsid w:val="00DA47A0"/>
    <w:rsid w:val="00DA5CCD"/>
    <w:rsid w:val="00DB072E"/>
    <w:rsid w:val="00DB24A0"/>
    <w:rsid w:val="00DB59CA"/>
    <w:rsid w:val="00DB78F0"/>
    <w:rsid w:val="00DC19F5"/>
    <w:rsid w:val="00DC268C"/>
    <w:rsid w:val="00DC30E4"/>
    <w:rsid w:val="00DC3F63"/>
    <w:rsid w:val="00DD0AB2"/>
    <w:rsid w:val="00DD5400"/>
    <w:rsid w:val="00DD7F4A"/>
    <w:rsid w:val="00DF13F0"/>
    <w:rsid w:val="00DF7159"/>
    <w:rsid w:val="00E1046F"/>
    <w:rsid w:val="00E114C2"/>
    <w:rsid w:val="00E25D77"/>
    <w:rsid w:val="00E4095F"/>
    <w:rsid w:val="00E42A08"/>
    <w:rsid w:val="00E45A14"/>
    <w:rsid w:val="00E46894"/>
    <w:rsid w:val="00E46BF9"/>
    <w:rsid w:val="00E5051A"/>
    <w:rsid w:val="00E57DA5"/>
    <w:rsid w:val="00E62841"/>
    <w:rsid w:val="00E666D3"/>
    <w:rsid w:val="00E80E4B"/>
    <w:rsid w:val="00E83DA4"/>
    <w:rsid w:val="00E91C72"/>
    <w:rsid w:val="00E92E7F"/>
    <w:rsid w:val="00E936E8"/>
    <w:rsid w:val="00E93704"/>
    <w:rsid w:val="00E93F59"/>
    <w:rsid w:val="00E941B4"/>
    <w:rsid w:val="00E952E0"/>
    <w:rsid w:val="00EA3FD9"/>
    <w:rsid w:val="00EC17CC"/>
    <w:rsid w:val="00EC33AD"/>
    <w:rsid w:val="00ED468A"/>
    <w:rsid w:val="00EE7126"/>
    <w:rsid w:val="00EF20AF"/>
    <w:rsid w:val="00EF54AB"/>
    <w:rsid w:val="00F14AF4"/>
    <w:rsid w:val="00F216E5"/>
    <w:rsid w:val="00F26B8D"/>
    <w:rsid w:val="00F422FF"/>
    <w:rsid w:val="00F45D77"/>
    <w:rsid w:val="00F50947"/>
    <w:rsid w:val="00F55B92"/>
    <w:rsid w:val="00F56547"/>
    <w:rsid w:val="00F56D0C"/>
    <w:rsid w:val="00F60502"/>
    <w:rsid w:val="00F6603F"/>
    <w:rsid w:val="00F70946"/>
    <w:rsid w:val="00F8124F"/>
    <w:rsid w:val="00FA11EA"/>
    <w:rsid w:val="00FB2F46"/>
    <w:rsid w:val="00FB396B"/>
    <w:rsid w:val="00FE22BC"/>
    <w:rsid w:val="00FE6C97"/>
    <w:rsid w:val="00FE7C05"/>
    <w:rsid w:val="00FF0131"/>
    <w:rsid w:val="00FF12DD"/>
    <w:rsid w:val="00FF1E0B"/>
    <w:rsid w:val="00FF23BD"/>
    <w:rsid w:val="00FF2A0B"/>
    <w:rsid w:val="00FF4320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9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417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1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F14A1-05FB-491D-876F-96882A6B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6838</TotalTime>
  <Pages>2</Pages>
  <Words>370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139</cp:revision>
  <cp:lastPrinted>2025-02-26T09:09:00Z</cp:lastPrinted>
  <dcterms:created xsi:type="dcterms:W3CDTF">2017-11-21T12:56:00Z</dcterms:created>
  <dcterms:modified xsi:type="dcterms:W3CDTF">2025-02-26T14:53:00Z</dcterms:modified>
</cp:coreProperties>
</file>