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7C" w:rsidRPr="00F34E7C" w:rsidRDefault="00F34E7C" w:rsidP="00F34E7C">
      <w:pPr>
        <w:rPr>
          <w:b/>
          <w:sz w:val="56"/>
        </w:rPr>
      </w:pPr>
      <w:r w:rsidRPr="00F34E7C">
        <w:rPr>
          <w:sz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 fillcolor="window">
            <v:imagedata r:id="rId5" o:title=""/>
          </v:shape>
          <o:OLEObject Type="Embed" ProgID="MS_ClipArt_Gallery.5" ShapeID="_x0000_i1025" DrawAspect="Content" ObjectID="_1654674807" r:id="rId6"/>
        </w:object>
      </w:r>
      <w:r w:rsidRPr="00F34E7C">
        <w:rPr>
          <w:rFonts w:ascii="OmniaE" w:hAnsi="OmniaE"/>
          <w:b/>
          <w:sz w:val="48"/>
        </w:rPr>
        <w:tab/>
      </w:r>
      <w:r w:rsidRPr="00F34E7C">
        <w:rPr>
          <w:rFonts w:ascii="OmniaE" w:hAnsi="OmniaE"/>
          <w:b/>
          <w:sz w:val="48"/>
        </w:rPr>
        <w:tab/>
        <w:t xml:space="preserve">   </w:t>
      </w:r>
      <w:r w:rsidRPr="00F34E7C">
        <w:rPr>
          <w:b/>
          <w:sz w:val="56"/>
        </w:rPr>
        <w:t>Město Strakonice</w:t>
      </w:r>
    </w:p>
    <w:p w:rsidR="00F34E7C" w:rsidRPr="00F34E7C" w:rsidRDefault="00F34E7C" w:rsidP="00F34E7C">
      <w:pPr>
        <w:widowControl w:val="0"/>
        <w:jc w:val="center"/>
        <w:rPr>
          <w:b/>
          <w:sz w:val="28"/>
          <w:szCs w:val="20"/>
        </w:rPr>
      </w:pPr>
      <w:r w:rsidRPr="00F34E7C">
        <w:rPr>
          <w:b/>
          <w:sz w:val="28"/>
        </w:rPr>
        <w:t xml:space="preserve">městská policie </w:t>
      </w:r>
    </w:p>
    <w:p w:rsidR="00F34E7C" w:rsidRPr="00F34E7C" w:rsidRDefault="00F34E7C" w:rsidP="00F34E7C">
      <w:pPr>
        <w:jc w:val="center"/>
        <w:rPr>
          <w:color w:val="FF6600"/>
        </w:rPr>
      </w:pPr>
    </w:p>
    <w:p w:rsidR="00F34E7C" w:rsidRPr="00F34E7C" w:rsidRDefault="00F34E7C" w:rsidP="00F34E7C">
      <w:pPr>
        <w:tabs>
          <w:tab w:val="left" w:pos="708"/>
          <w:tab w:val="center" w:pos="4536"/>
          <w:tab w:val="right" w:pos="9072"/>
        </w:tabs>
        <w:jc w:val="center"/>
        <w:rPr>
          <w:b/>
          <w:bCs/>
          <w:sz w:val="4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3495"/>
        <w:gridCol w:w="1672"/>
      </w:tblGrid>
      <w:tr w:rsidR="00F34E7C" w:rsidRPr="00F34E7C" w:rsidTr="00131EC7">
        <w:tc>
          <w:tcPr>
            <w:tcW w:w="4210" w:type="dxa"/>
          </w:tcPr>
          <w:p w:rsidR="00F34E7C" w:rsidRPr="00F34E7C" w:rsidRDefault="00F34E7C" w:rsidP="00F34E7C">
            <w:pPr>
              <w:rPr>
                <w:b/>
                <w:bCs/>
                <w:sz w:val="20"/>
              </w:rPr>
            </w:pPr>
            <w:r w:rsidRPr="00F34E7C">
              <w:rPr>
                <w:b/>
                <w:bCs/>
                <w:sz w:val="20"/>
              </w:rPr>
              <w:t>Naše značka:</w:t>
            </w:r>
          </w:p>
        </w:tc>
        <w:tc>
          <w:tcPr>
            <w:tcW w:w="3780" w:type="dxa"/>
          </w:tcPr>
          <w:p w:rsidR="00F34E7C" w:rsidRPr="00F34E7C" w:rsidRDefault="00F34E7C" w:rsidP="00F34E7C">
            <w:pPr>
              <w:rPr>
                <w:b/>
                <w:bCs/>
                <w:sz w:val="20"/>
              </w:rPr>
            </w:pPr>
            <w:r w:rsidRPr="00F34E7C">
              <w:rPr>
                <w:b/>
                <w:bCs/>
                <w:sz w:val="20"/>
              </w:rPr>
              <w:t>Vyřizuje:</w:t>
            </w:r>
          </w:p>
        </w:tc>
        <w:tc>
          <w:tcPr>
            <w:tcW w:w="1754" w:type="dxa"/>
          </w:tcPr>
          <w:p w:rsidR="00F34E7C" w:rsidRPr="00F34E7C" w:rsidRDefault="00F34E7C" w:rsidP="00F34E7C">
            <w:pPr>
              <w:rPr>
                <w:b/>
                <w:bCs/>
                <w:sz w:val="20"/>
              </w:rPr>
            </w:pPr>
            <w:r w:rsidRPr="00F34E7C">
              <w:rPr>
                <w:b/>
                <w:bCs/>
                <w:sz w:val="20"/>
              </w:rPr>
              <w:t xml:space="preserve">Datum: </w:t>
            </w:r>
            <w:proofErr w:type="gramStart"/>
            <w:r w:rsidRPr="00F34E7C">
              <w:rPr>
                <w:b/>
                <w:bCs/>
                <w:sz w:val="20"/>
              </w:rPr>
              <w:t>26.6.2020</w:t>
            </w:r>
            <w:proofErr w:type="gramEnd"/>
          </w:p>
        </w:tc>
      </w:tr>
      <w:tr w:rsidR="00F34E7C" w:rsidRPr="00F34E7C" w:rsidTr="00131EC7">
        <w:tc>
          <w:tcPr>
            <w:tcW w:w="4210" w:type="dxa"/>
          </w:tcPr>
          <w:p w:rsidR="00F34E7C" w:rsidRPr="00F34E7C" w:rsidRDefault="00F34E7C" w:rsidP="00F34E7C">
            <w:pPr>
              <w:rPr>
                <w:sz w:val="20"/>
              </w:rPr>
            </w:pPr>
            <w:r w:rsidRPr="00F34E7C">
              <w:rPr>
                <w:sz w:val="20"/>
              </w:rPr>
              <w:t>MP / ST_22_2020</w:t>
            </w:r>
          </w:p>
        </w:tc>
        <w:tc>
          <w:tcPr>
            <w:tcW w:w="3780" w:type="dxa"/>
          </w:tcPr>
          <w:p w:rsidR="00F34E7C" w:rsidRPr="00F34E7C" w:rsidRDefault="00F34E7C" w:rsidP="00F34E7C">
            <w:pPr>
              <w:rPr>
                <w:sz w:val="20"/>
              </w:rPr>
            </w:pPr>
            <w:r w:rsidRPr="00F34E7C">
              <w:rPr>
                <w:sz w:val="20"/>
              </w:rPr>
              <w:t>Michálek Milan</w:t>
            </w:r>
          </w:p>
        </w:tc>
        <w:tc>
          <w:tcPr>
            <w:tcW w:w="1754" w:type="dxa"/>
          </w:tcPr>
          <w:p w:rsidR="00F34E7C" w:rsidRPr="00F34E7C" w:rsidRDefault="00F34E7C" w:rsidP="00F34E7C">
            <w:pPr>
              <w:rPr>
                <w:sz w:val="20"/>
              </w:rPr>
            </w:pPr>
          </w:p>
        </w:tc>
      </w:tr>
    </w:tbl>
    <w:p w:rsidR="00F34E7C" w:rsidRPr="00F34E7C" w:rsidRDefault="00F34E7C" w:rsidP="00F34E7C">
      <w:pPr>
        <w:tabs>
          <w:tab w:val="left" w:pos="708"/>
          <w:tab w:val="center" w:pos="4536"/>
          <w:tab w:val="right" w:pos="9072"/>
        </w:tabs>
        <w:rPr>
          <w:b/>
          <w:bCs/>
          <w:szCs w:val="20"/>
        </w:rPr>
      </w:pPr>
    </w:p>
    <w:p w:rsidR="00F34E7C" w:rsidRPr="00F34E7C" w:rsidRDefault="00F34E7C" w:rsidP="00F34E7C">
      <w:pPr>
        <w:jc w:val="center"/>
        <w:rPr>
          <w:color w:val="FF6600"/>
        </w:rPr>
      </w:pPr>
    </w:p>
    <w:p w:rsidR="00F34E7C" w:rsidRPr="00F34E7C" w:rsidRDefault="00F34E7C" w:rsidP="00F34E7C">
      <w:pPr>
        <w:jc w:val="center"/>
        <w:rPr>
          <w:b/>
          <w:sz w:val="28"/>
        </w:rPr>
      </w:pPr>
      <w:bookmarkStart w:id="0" w:name="_GoBack"/>
      <w:r w:rsidRPr="00F34E7C">
        <w:rPr>
          <w:b/>
          <w:sz w:val="28"/>
        </w:rPr>
        <w:t>Výzva k podání nabídky</w:t>
      </w:r>
    </w:p>
    <w:p w:rsidR="00F34E7C" w:rsidRPr="00F34E7C" w:rsidRDefault="00F34E7C" w:rsidP="00F34E7C">
      <w:pPr>
        <w:jc w:val="center"/>
        <w:rPr>
          <w:b/>
          <w:bCs/>
          <w:i/>
          <w:iCs/>
          <w:sz w:val="28"/>
        </w:rPr>
      </w:pPr>
      <w:r w:rsidRPr="00F34E7C">
        <w:rPr>
          <w:b/>
          <w:sz w:val="28"/>
        </w:rPr>
        <w:t>na realizaci veřejné zakázky malého rozsahu</w:t>
      </w:r>
    </w:p>
    <w:p w:rsidR="00F34E7C" w:rsidRPr="00F34E7C" w:rsidRDefault="00F34E7C" w:rsidP="00F34E7C">
      <w:pPr>
        <w:jc w:val="center"/>
        <w:rPr>
          <w:b/>
          <w:bCs/>
          <w:sz w:val="28"/>
        </w:rPr>
      </w:pPr>
      <w:r w:rsidRPr="00F34E7C">
        <w:rPr>
          <w:b/>
          <w:bCs/>
          <w:sz w:val="28"/>
        </w:rPr>
        <w:t xml:space="preserve">„ </w:t>
      </w:r>
      <w:r w:rsidRPr="00F34E7C">
        <w:rPr>
          <w:b/>
          <w:bCs/>
        </w:rPr>
        <w:t xml:space="preserve">Strakonice – reprodukce městského kamerového dohlížecího systému </w:t>
      </w:r>
      <w:r w:rsidRPr="00F34E7C">
        <w:rPr>
          <w:b/>
          <w:bCs/>
          <w:sz w:val="28"/>
        </w:rPr>
        <w:t>“</w:t>
      </w:r>
    </w:p>
    <w:bookmarkEnd w:id="0"/>
    <w:p w:rsidR="00F34E7C" w:rsidRPr="00F34E7C" w:rsidRDefault="00F34E7C" w:rsidP="00F34E7C">
      <w:pPr>
        <w:jc w:val="center"/>
        <w:rPr>
          <w:b/>
          <w:bCs/>
        </w:rPr>
      </w:pPr>
    </w:p>
    <w:p w:rsidR="00F34E7C" w:rsidRPr="00F34E7C" w:rsidRDefault="00F34E7C" w:rsidP="00F34E7C">
      <w:pPr>
        <w:jc w:val="center"/>
        <w:rPr>
          <w:b/>
          <w:bCs/>
          <w:i/>
          <w:iCs/>
        </w:rPr>
      </w:pPr>
    </w:p>
    <w:p w:rsidR="00F34E7C" w:rsidRPr="00F34E7C" w:rsidRDefault="00F34E7C" w:rsidP="00F34E7C">
      <w:pPr>
        <w:jc w:val="both"/>
        <w:rPr>
          <w:b/>
          <w:bCs/>
        </w:rPr>
      </w:pPr>
    </w:p>
    <w:p w:rsidR="00F34E7C" w:rsidRPr="00F34E7C" w:rsidRDefault="00F34E7C" w:rsidP="00F34E7C">
      <w:pPr>
        <w:jc w:val="both"/>
        <w:rPr>
          <w:b/>
          <w:bCs/>
        </w:rPr>
      </w:pPr>
      <w:r w:rsidRPr="00F34E7C">
        <w:rPr>
          <w:b/>
          <w:bCs/>
        </w:rPr>
        <w:t>Město Strakonice jako zadavatel, vyhlašuje v souladu s Pravidly pro zadávání veřejných zakázek v podmínkách města Strakonice a v souladu s usnesením Rady města Strakonice č. 639/2020 ze dne 24. 06. 2020 výzvu k podání nabídky na realizaci veřejné zakázky malého rozsahu:</w:t>
      </w:r>
    </w:p>
    <w:p w:rsidR="00F34E7C" w:rsidRPr="00F34E7C" w:rsidRDefault="00F34E7C" w:rsidP="00F34E7C">
      <w:pPr>
        <w:jc w:val="center"/>
        <w:rPr>
          <w:b/>
          <w:bCs/>
        </w:rPr>
      </w:pPr>
      <w:r w:rsidRPr="00F34E7C">
        <w:rPr>
          <w:b/>
          <w:bCs/>
        </w:rPr>
        <w:t>„ Strakonice – reprodukce městského kamerového dohlížecího systému “</w:t>
      </w:r>
    </w:p>
    <w:p w:rsidR="00F34E7C" w:rsidRPr="00F34E7C" w:rsidRDefault="00F34E7C" w:rsidP="00F34E7C">
      <w:pPr>
        <w:jc w:val="both"/>
        <w:rPr>
          <w:b/>
          <w:bCs/>
        </w:rPr>
      </w:pP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  <w:r w:rsidRPr="00F34E7C">
        <w:rPr>
          <w:b/>
          <w:bCs/>
          <w:szCs w:val="20"/>
        </w:rPr>
        <w:t>1. Zadavatel zakázky</w:t>
      </w:r>
    </w:p>
    <w:p w:rsidR="00F34E7C" w:rsidRPr="00F34E7C" w:rsidRDefault="00F34E7C" w:rsidP="00F34E7C"/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eastAsia="Arial Unicode MS"/>
          <w:b/>
          <w:bCs/>
          <w:szCs w:val="20"/>
        </w:rPr>
      </w:pPr>
      <w:r w:rsidRPr="00F34E7C">
        <w:rPr>
          <w:b/>
          <w:bCs/>
          <w:szCs w:val="20"/>
        </w:rPr>
        <w:t>Město Strakonice</w:t>
      </w:r>
    </w:p>
    <w:p w:rsidR="00F34E7C" w:rsidRPr="00F34E7C" w:rsidRDefault="00F34E7C" w:rsidP="00F34E7C">
      <w:r w:rsidRPr="00F34E7C">
        <w:t>sídlo: Velké náměstí 2, 386 21 Strakonice</w:t>
      </w:r>
    </w:p>
    <w:p w:rsidR="00F34E7C" w:rsidRPr="00F34E7C" w:rsidRDefault="00F34E7C" w:rsidP="00F34E7C">
      <w:r w:rsidRPr="00F34E7C">
        <w:t>zastoupené: starostou Mgr. Břetislavem Hrdličkou</w:t>
      </w:r>
    </w:p>
    <w:p w:rsidR="00F34E7C" w:rsidRPr="00F34E7C" w:rsidRDefault="00F34E7C" w:rsidP="00F34E7C">
      <w:pPr>
        <w:rPr>
          <w:b/>
        </w:rPr>
      </w:pPr>
      <w:r w:rsidRPr="00F34E7C">
        <w:t>IČO: 00251810, DIČ: CZ00251810</w:t>
      </w:r>
    </w:p>
    <w:p w:rsidR="00F34E7C" w:rsidRPr="00F34E7C" w:rsidRDefault="00F34E7C" w:rsidP="00F34E7C"/>
    <w:p w:rsidR="00F34E7C" w:rsidRPr="00F34E7C" w:rsidRDefault="00F34E7C" w:rsidP="00F34E7C">
      <w:r w:rsidRPr="00F34E7C">
        <w:t xml:space="preserve">bankovní spojení: ČSOB a.s., pobočka Strakonice, </w:t>
      </w:r>
      <w:proofErr w:type="spellStart"/>
      <w:proofErr w:type="gramStart"/>
      <w:r w:rsidRPr="00F34E7C">
        <w:t>č.ú</w:t>
      </w:r>
      <w:proofErr w:type="spellEnd"/>
      <w:r w:rsidRPr="00F34E7C">
        <w:t>. 182050112/0300</w:t>
      </w:r>
      <w:proofErr w:type="gramEnd"/>
    </w:p>
    <w:p w:rsidR="00F34E7C" w:rsidRPr="00F34E7C" w:rsidRDefault="00F34E7C" w:rsidP="00F34E7C">
      <w:r w:rsidRPr="00F34E7C">
        <w:t>tel.: 383 700 111</w:t>
      </w:r>
    </w:p>
    <w:p w:rsidR="00F34E7C" w:rsidRPr="00F34E7C" w:rsidRDefault="00F34E7C" w:rsidP="00F34E7C">
      <w:pPr>
        <w:rPr>
          <w:i/>
        </w:rPr>
      </w:pPr>
      <w:r w:rsidRPr="00F34E7C">
        <w:t>fax: 383 324 535</w:t>
      </w:r>
    </w:p>
    <w:p w:rsidR="00F34E7C" w:rsidRPr="00F34E7C" w:rsidRDefault="00F34E7C" w:rsidP="00F34E7C"/>
    <w:p w:rsidR="00F34E7C" w:rsidRPr="00F34E7C" w:rsidRDefault="00F34E7C" w:rsidP="00F34E7C">
      <w:r w:rsidRPr="00F34E7C">
        <w:t xml:space="preserve">kontaktní osoba </w:t>
      </w:r>
    </w:p>
    <w:p w:rsidR="00F34E7C" w:rsidRPr="00F34E7C" w:rsidRDefault="00F34E7C" w:rsidP="00F34E7C">
      <w:r w:rsidRPr="00F34E7C">
        <w:t>ve věcech  technických:        Ing. Ulč Rudolf</w:t>
      </w:r>
    </w:p>
    <w:p w:rsidR="00F34E7C" w:rsidRPr="00F34E7C" w:rsidRDefault="00F34E7C" w:rsidP="00F34E7C">
      <w:r w:rsidRPr="00F34E7C">
        <w:t xml:space="preserve">ve věcech  organizačních:     Michálek Milan    </w:t>
      </w:r>
    </w:p>
    <w:p w:rsidR="00F34E7C" w:rsidRPr="00F34E7C" w:rsidRDefault="00F34E7C" w:rsidP="00F34E7C">
      <w:pPr>
        <w:rPr>
          <w:b/>
          <w:szCs w:val="20"/>
          <w:u w:val="single"/>
        </w:rPr>
      </w:pP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  <w:r w:rsidRPr="00F34E7C">
        <w:rPr>
          <w:b/>
          <w:bCs/>
          <w:szCs w:val="20"/>
        </w:rPr>
        <w:t>2. Předmět zakázky /Vymezení plnění zakázky/</w:t>
      </w:r>
    </w:p>
    <w:p w:rsidR="00F34E7C" w:rsidRPr="00F34E7C" w:rsidRDefault="00F34E7C" w:rsidP="00F34E7C"/>
    <w:p w:rsidR="00F34E7C" w:rsidRPr="00F34E7C" w:rsidRDefault="00F34E7C" w:rsidP="00F34E7C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snapToGrid w:val="0"/>
          <w:sz w:val="28"/>
          <w:szCs w:val="28"/>
        </w:rPr>
      </w:pPr>
    </w:p>
    <w:p w:rsidR="00F34E7C" w:rsidRPr="00F34E7C" w:rsidRDefault="00F34E7C" w:rsidP="00F34E7C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snapToGrid w:val="0"/>
          <w:szCs w:val="28"/>
        </w:rPr>
      </w:pPr>
      <w:r w:rsidRPr="00F34E7C">
        <w:rPr>
          <w:rFonts w:ascii="Calibri" w:hAnsi="Calibri" w:cs="Calibri"/>
          <w:b/>
          <w:bCs/>
          <w:iCs/>
          <w:snapToGrid w:val="0"/>
          <w:szCs w:val="28"/>
        </w:rPr>
        <w:t xml:space="preserve">Stávající stav Městského kamerového dohlížecího systému ve Strakonicích </w:t>
      </w:r>
    </w:p>
    <w:p w:rsidR="00F34E7C" w:rsidRPr="00F34E7C" w:rsidRDefault="00F34E7C" w:rsidP="00F34E7C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snapToGrid w:val="0"/>
          <w:sz w:val="28"/>
          <w:szCs w:val="28"/>
        </w:rPr>
      </w:pPr>
      <w:proofErr w:type="gramStart"/>
      <w:r w:rsidRPr="00F34E7C">
        <w:rPr>
          <w:rFonts w:ascii="Calibri" w:hAnsi="Calibri" w:cs="Calibri"/>
          <w:b/>
          <w:bCs/>
          <w:iCs/>
          <w:snapToGrid w:val="0"/>
          <w:szCs w:val="28"/>
        </w:rPr>
        <w:t>( dále</w:t>
      </w:r>
      <w:proofErr w:type="gramEnd"/>
      <w:r w:rsidRPr="00F34E7C">
        <w:rPr>
          <w:rFonts w:ascii="Calibri" w:hAnsi="Calibri" w:cs="Calibri"/>
          <w:b/>
          <w:bCs/>
          <w:iCs/>
          <w:snapToGrid w:val="0"/>
          <w:szCs w:val="28"/>
        </w:rPr>
        <w:t xml:space="preserve"> jen MKDS ) :</w:t>
      </w:r>
    </w:p>
    <w:p w:rsidR="00F34E7C" w:rsidRPr="00F34E7C" w:rsidRDefault="00F34E7C" w:rsidP="00F34E7C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snapToGrid w:val="0"/>
          <w:sz w:val="28"/>
          <w:szCs w:val="28"/>
        </w:rPr>
      </w:pPr>
    </w:p>
    <w:p w:rsidR="00F34E7C" w:rsidRPr="00F34E7C" w:rsidRDefault="00F34E7C" w:rsidP="00F34E7C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snapToGrid w:val="0"/>
          <w:sz w:val="28"/>
          <w:szCs w:val="28"/>
        </w:rPr>
      </w:pPr>
    </w:p>
    <w:tbl>
      <w:tblPr>
        <w:tblW w:w="9670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F34E7C" w:rsidRPr="00F34E7C" w:rsidTr="00131EC7">
        <w:trPr>
          <w:cantSplit/>
          <w:trHeight w:val="4244"/>
        </w:trPr>
        <w:tc>
          <w:tcPr>
            <w:tcW w:w="9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W w:w="96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70"/>
            </w:tblGrid>
            <w:tr w:rsidR="00F34E7C" w:rsidRPr="00F34E7C" w:rsidTr="00131EC7">
              <w:trPr>
                <w:cantSplit/>
                <w:trHeight w:val="4244"/>
              </w:trPr>
              <w:tc>
                <w:tcPr>
                  <w:tcW w:w="967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34E7C" w:rsidRPr="00F34E7C" w:rsidRDefault="00F34E7C" w:rsidP="00F34E7C">
                  <w:pPr>
                    <w:suppressAutoHyphens/>
                    <w:snapToGrid w:val="0"/>
                    <w:rPr>
                      <w:b/>
                      <w:sz w:val="20"/>
                      <w:szCs w:val="20"/>
                      <w:lang w:eastAsia="zh-CN"/>
                    </w:rPr>
                  </w:pPr>
                </w:p>
                <w:p w:rsidR="00F34E7C" w:rsidRPr="00F34E7C" w:rsidRDefault="00F34E7C" w:rsidP="00F34E7C">
                  <w:pPr>
                    <w:suppressAutoHyphens/>
                    <w:rPr>
                      <w:sz w:val="20"/>
                      <w:szCs w:val="20"/>
                      <w:lang w:eastAsia="zh-CN"/>
                    </w:rPr>
                  </w:pPr>
                  <w:r w:rsidRPr="00F34E7C">
                    <w:rPr>
                      <w:b/>
                      <w:sz w:val="20"/>
                      <w:szCs w:val="20"/>
                      <w:lang w:eastAsia="zh-CN"/>
                    </w:rPr>
                    <w:t xml:space="preserve">Namontované  </w:t>
                  </w:r>
                  <w:proofErr w:type="gramStart"/>
                  <w:r w:rsidRPr="00F34E7C">
                    <w:rPr>
                      <w:b/>
                      <w:sz w:val="20"/>
                      <w:szCs w:val="20"/>
                      <w:lang w:eastAsia="zh-CN"/>
                    </w:rPr>
                    <w:t>zařízení  :</w:t>
                  </w:r>
                  <w:proofErr w:type="gramEnd"/>
                </w:p>
                <w:tbl>
                  <w:tblPr>
                    <w:tblW w:w="981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66"/>
                    <w:gridCol w:w="1559"/>
                    <w:gridCol w:w="4586"/>
                  </w:tblGrid>
                  <w:tr w:rsidR="00F34E7C" w:rsidRPr="00F34E7C" w:rsidTr="00131EC7">
                    <w:tc>
                      <w:tcPr>
                        <w:tcW w:w="36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Záznamové zařízení: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</w:tc>
                    <w:tc>
                      <w:tcPr>
                        <w:tcW w:w="458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szCs w:val="20"/>
                            <w:lang w:eastAsia="zh-CN"/>
                          </w:rPr>
                        </w:pP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Geutebruck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Geviscope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16 CH 6TB</w:t>
                        </w:r>
                      </w:p>
                    </w:tc>
                  </w:tr>
                  <w:tr w:rsidR="00F34E7C" w:rsidRPr="00F34E7C" w:rsidTr="00131EC7"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Ovládání kamer: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8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</w:tc>
                    <w:tc>
                      <w:tcPr>
                        <w:tcW w:w="4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G3112 vysílač 448,070MHz MP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G353 řadič 485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G322 Datový přijímač telemetrie 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ZA41 vysílací anténa 448MHz</w:t>
                        </w:r>
                      </w:p>
                    </w:tc>
                  </w:tr>
                  <w:tr w:rsidR="00F34E7C" w:rsidRPr="00F34E7C" w:rsidTr="00131EC7"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Kamery (včetně krytů) 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4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7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3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</w:tc>
                    <w:tc>
                      <w:tcPr>
                        <w:tcW w:w="4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Phillips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LTC 0600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Bosch G3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 xml:space="preserve">Bosch </w:t>
                        </w:r>
                        <w:proofErr w:type="spellStart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Dinion</w:t>
                        </w:r>
                        <w:proofErr w:type="spellEnd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 xml:space="preserve"> 600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Pelco</w:t>
                        </w:r>
                        <w:proofErr w:type="spellEnd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Spectra</w:t>
                        </w:r>
                        <w:proofErr w:type="spellEnd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 xml:space="preserve"> 4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Hikvision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36x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Mobilní kamerový set </w:t>
                        </w: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Hikvision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20x</w:t>
                        </w:r>
                      </w:p>
                    </w:tc>
                  </w:tr>
                  <w:tr w:rsidR="00F34E7C" w:rsidRPr="00F34E7C" w:rsidTr="00131EC7"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Převodníky: vysílač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Přijímač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Přijímač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Vysílač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Přijímač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Vysílač 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Demodulátor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Převodník kamera/IP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14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4 ks</w:t>
                        </w:r>
                      </w:p>
                    </w:tc>
                    <w:tc>
                      <w:tcPr>
                        <w:tcW w:w="4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G 4001/2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G 4002/2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Metel  </w:t>
                        </w: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Break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2RSVBox </w:t>
                        </w:r>
                        <w:proofErr w:type="gram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MM 2.kanál</w:t>
                        </w:r>
                        <w:proofErr w:type="gramEnd"/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 xml:space="preserve">Metel </w:t>
                        </w:r>
                        <w:proofErr w:type="spellStart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BreakTS</w:t>
                        </w:r>
                        <w:proofErr w:type="spellEnd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/Box MM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 xml:space="preserve">Metel </w:t>
                        </w:r>
                        <w:proofErr w:type="spellStart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BreakTS</w:t>
                        </w:r>
                        <w:proofErr w:type="spellEnd"/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/Box SM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Metel SM </w:t>
                        </w: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Break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TSV Box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Alcad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US511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Cam2IP </w:t>
                        </w: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geutebruck</w:t>
                        </w:r>
                        <w:proofErr w:type="spellEnd"/>
                      </w:p>
                    </w:tc>
                  </w:tr>
                  <w:tr w:rsidR="00F34E7C" w:rsidRPr="00F34E7C" w:rsidTr="00131EC7"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Transformátor (zdroj napětí):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20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4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5 ks</w:t>
                        </w:r>
                      </w:p>
                    </w:tc>
                    <w:tc>
                      <w:tcPr>
                        <w:tcW w:w="4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Zdroje  G2309 230/24st/12a18ss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Alcad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US511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MW911 2GS</w:t>
                        </w:r>
                      </w:p>
                    </w:tc>
                  </w:tr>
                  <w:tr w:rsidR="00F34E7C" w:rsidRPr="00F34E7C" w:rsidTr="00131EC7"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akumulátor: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3 ks</w:t>
                        </w:r>
                      </w:p>
                    </w:tc>
                    <w:tc>
                      <w:tcPr>
                        <w:tcW w:w="4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APC SMART1500</w:t>
                        </w:r>
                      </w:p>
                      <w:p w:rsidR="00F34E7C" w:rsidRPr="00F34E7C" w:rsidRDefault="00F34E7C" w:rsidP="00F34E7C">
                        <w:r w:rsidRPr="00F34E7C">
                          <w:rPr>
                            <w:sz w:val="20"/>
                          </w:rPr>
                          <w:t xml:space="preserve">APC </w:t>
                        </w:r>
                        <w:proofErr w:type="spellStart"/>
                        <w:r w:rsidRPr="00F34E7C">
                          <w:rPr>
                            <w:sz w:val="20"/>
                          </w:rPr>
                          <w:t>Back</w:t>
                        </w:r>
                        <w:proofErr w:type="spellEnd"/>
                        <w:r w:rsidRPr="00F34E7C">
                          <w:rPr>
                            <w:sz w:val="20"/>
                          </w:rPr>
                          <w:t xml:space="preserve"> UPS 500</w:t>
                        </w:r>
                      </w:p>
                    </w:tc>
                  </w:tr>
                  <w:tr w:rsidR="00F34E7C" w:rsidRPr="00F34E7C" w:rsidTr="00131EC7"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Zobrazovací zařízení: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</w:tc>
                    <w:tc>
                      <w:tcPr>
                        <w:tcW w:w="4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Plasma LG 50pn6500“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LCD Sharp LC32B25E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 xml:space="preserve">LCD Samsung 32“ </w:t>
                        </w:r>
                      </w:p>
                    </w:tc>
                  </w:tr>
                  <w:tr w:rsidR="00F34E7C" w:rsidRPr="00F34E7C" w:rsidTr="00131EC7"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Přenosové trasy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2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1 ks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Microwapp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1020-1 10GHz</w:t>
                        </w:r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Micropoint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10GHZ </w:t>
                        </w: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dvoukanál</w:t>
                        </w:r>
                        <w:proofErr w:type="spellEnd"/>
                      </w:p>
                      <w:p w:rsidR="00F34E7C" w:rsidRPr="00F34E7C" w:rsidRDefault="00F34E7C" w:rsidP="00F34E7C">
                        <w:pPr>
                          <w:suppressAutoHyphens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>Micropoint</w:t>
                        </w:r>
                        <w:proofErr w:type="spellEnd"/>
                        <w:r w:rsidRPr="00F34E7C">
                          <w:rPr>
                            <w:sz w:val="20"/>
                            <w:szCs w:val="20"/>
                            <w:lang w:eastAsia="zh-CN"/>
                          </w:rPr>
                          <w:t xml:space="preserve"> 10 GHz </w:t>
                        </w:r>
                      </w:p>
                    </w:tc>
                  </w:tr>
                  <w:tr w:rsidR="00F34E7C" w:rsidRPr="00F34E7C" w:rsidTr="00131EC7">
                    <w:tc>
                      <w:tcPr>
                        <w:tcW w:w="36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  <w:r w:rsidRPr="00F34E7C"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  <w:t>ostatní zařízení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snapToGrid w:val="0"/>
                          <w:jc w:val="both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34E7C" w:rsidRPr="00F34E7C" w:rsidRDefault="00F34E7C" w:rsidP="00F34E7C">
                        <w:pPr>
                          <w:suppressAutoHyphens/>
                          <w:snapToGrid w:val="0"/>
                          <w:rPr>
                            <w:bCs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:rsidR="00F34E7C" w:rsidRPr="00F34E7C" w:rsidRDefault="00F34E7C" w:rsidP="00F34E7C">
                  <w:pPr>
                    <w:suppressAutoHyphens/>
                    <w:rPr>
                      <w:b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F34E7C" w:rsidRPr="00F34E7C" w:rsidRDefault="00F34E7C" w:rsidP="00F34E7C"/>
        </w:tc>
      </w:tr>
    </w:tbl>
    <w:p w:rsidR="00F34E7C" w:rsidRPr="00F34E7C" w:rsidRDefault="00F34E7C" w:rsidP="00F34E7C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snapToGrid w:val="0"/>
          <w:sz w:val="28"/>
          <w:szCs w:val="28"/>
        </w:rPr>
      </w:pPr>
    </w:p>
    <w:p w:rsidR="00F34E7C" w:rsidRPr="00F34E7C" w:rsidRDefault="00F34E7C" w:rsidP="00F34E7C">
      <w:pPr>
        <w:rPr>
          <w:szCs w:val="22"/>
        </w:rPr>
      </w:pPr>
    </w:p>
    <w:p w:rsidR="00F34E7C" w:rsidRPr="00F34E7C" w:rsidRDefault="00F34E7C" w:rsidP="00F34E7C">
      <w:pPr>
        <w:widowControl w:val="0"/>
        <w:spacing w:line="276" w:lineRule="auto"/>
        <w:jc w:val="both"/>
        <w:rPr>
          <w:bCs/>
          <w:iCs/>
          <w:snapToGrid w:val="0"/>
        </w:rPr>
      </w:pPr>
    </w:p>
    <w:p w:rsidR="00F34E7C" w:rsidRPr="00F34E7C" w:rsidRDefault="00F34E7C" w:rsidP="00F34E7C">
      <w:pPr>
        <w:rPr>
          <w:szCs w:val="22"/>
        </w:rPr>
      </w:pPr>
      <w:r w:rsidRPr="00F34E7C">
        <w:rPr>
          <w:szCs w:val="22"/>
        </w:rPr>
        <w:t>Předmětem plnění této zakázky je reprodukce kamerového systému o SW nadstavbu automatické detekce událostí v obraze, a to v rozsahu licencí pro stávající záznamové zařízení takto:</w:t>
      </w:r>
    </w:p>
    <w:p w:rsidR="00F34E7C" w:rsidRPr="00F34E7C" w:rsidRDefault="00F34E7C" w:rsidP="00F34E7C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snapToGrid w:val="0"/>
          <w:sz w:val="28"/>
          <w:szCs w:val="28"/>
        </w:rPr>
      </w:pPr>
    </w:p>
    <w:p w:rsidR="00F34E7C" w:rsidRPr="00F34E7C" w:rsidRDefault="00F34E7C" w:rsidP="00F34E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Licence 3D VMD pro jednu kameru - detektoru respektující 3D perspektivu, vhodné pro náročné venkovní aplikace, měřící cykly 40ms až 10s, 128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det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. zón, potlačení globálních změn, detekce směru a rychlosti (pro jednotky řady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re_porter_sensor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+,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GeViScope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+ a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GeViStore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>) pro jeden kamerový kanál.</w:t>
      </w:r>
    </w:p>
    <w:p w:rsidR="00F34E7C" w:rsidRPr="00F34E7C" w:rsidRDefault="00F34E7C" w:rsidP="00F34E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34E7C">
        <w:rPr>
          <w:rFonts w:eastAsiaTheme="minorHAnsi"/>
          <w:color w:val="000000"/>
          <w:sz w:val="23"/>
          <w:szCs w:val="23"/>
          <w:lang w:eastAsia="en-US"/>
        </w:rPr>
        <w:t>Licence G-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Tect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/VMX pro jednu kameru - detektor kombinující 3D VMD detektor a rozpoznání objektu (člověk), součástí licence VMD detektor,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DualSensor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prefilter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, validace scény a rozpoznání objektu. Detektor vhodný do venkovních prostor pro zabezpečení perimetrů, vysoká odolnost vůči vlivu počasí, pohybu objektů ve větru, pavučinám apod. (pro jednotky řady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re_porter_sensor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+,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GeViScope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+ a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GeViStore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>) pro deset kamerových kanálů.</w:t>
      </w:r>
    </w:p>
    <w:p w:rsidR="00F34E7C" w:rsidRPr="00F34E7C" w:rsidRDefault="00F34E7C" w:rsidP="00F34E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34E7C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Dále bude dodávka obsahovat integraci SW licencí do záznamového zařízení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Geutebrück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proofErr w:type="spellStart"/>
      <w:r w:rsidRPr="00F34E7C">
        <w:rPr>
          <w:rFonts w:eastAsiaTheme="minorHAnsi"/>
          <w:color w:val="000000"/>
          <w:sz w:val="23"/>
          <w:szCs w:val="23"/>
          <w:lang w:eastAsia="en-US"/>
        </w:rPr>
        <w:t>GeViScope</w:t>
      </w:r>
      <w:proofErr w:type="spellEnd"/>
      <w:r w:rsidRPr="00F34E7C">
        <w:rPr>
          <w:rFonts w:eastAsiaTheme="minorHAnsi"/>
          <w:color w:val="000000"/>
          <w:sz w:val="23"/>
          <w:szCs w:val="23"/>
          <w:lang w:eastAsia="en-US"/>
        </w:rPr>
        <w:t xml:space="preserve"> včetně všech souvisejících registrací u výrobce zařízení.</w:t>
      </w:r>
    </w:p>
    <w:p w:rsidR="00F34E7C" w:rsidRPr="00F34E7C" w:rsidRDefault="00F34E7C" w:rsidP="00F34E7C">
      <w:pPr>
        <w:widowControl w:val="0"/>
        <w:spacing w:line="276" w:lineRule="auto"/>
        <w:jc w:val="both"/>
        <w:rPr>
          <w:bCs/>
          <w:iCs/>
          <w:snapToGrid w:val="0"/>
        </w:rPr>
      </w:pPr>
    </w:p>
    <w:p w:rsidR="00F34E7C" w:rsidRPr="00F34E7C" w:rsidRDefault="00F34E7C" w:rsidP="00F34E7C"/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  <w:r w:rsidRPr="00F34E7C">
        <w:rPr>
          <w:b/>
          <w:bCs/>
          <w:szCs w:val="20"/>
        </w:rPr>
        <w:t>3. Doba a místo plnění  zakázky</w:t>
      </w:r>
    </w:p>
    <w:p w:rsidR="00F34E7C" w:rsidRPr="00F34E7C" w:rsidRDefault="00F34E7C" w:rsidP="00F34E7C"/>
    <w:p w:rsidR="00F34E7C" w:rsidRPr="00F34E7C" w:rsidRDefault="00F34E7C" w:rsidP="00F34E7C">
      <w:pPr>
        <w:jc w:val="both"/>
      </w:pPr>
      <w:r w:rsidRPr="00F34E7C">
        <w:t>Předpoklad zahájení</w:t>
      </w:r>
      <w:r w:rsidRPr="00F34E7C">
        <w:tab/>
      </w:r>
      <w:r w:rsidRPr="00F34E7C">
        <w:tab/>
        <w:t>září 2020</w:t>
      </w:r>
    </w:p>
    <w:p w:rsidR="00F34E7C" w:rsidRPr="00F34E7C" w:rsidRDefault="00F34E7C" w:rsidP="00F34E7C">
      <w:r w:rsidRPr="00F34E7C">
        <w:t>Ukončení</w:t>
      </w:r>
      <w:r w:rsidRPr="00F34E7C">
        <w:tab/>
      </w:r>
      <w:r w:rsidRPr="00F34E7C">
        <w:tab/>
      </w:r>
      <w:r w:rsidRPr="00F34E7C">
        <w:tab/>
        <w:t>listopad 2020</w:t>
      </w:r>
    </w:p>
    <w:p w:rsidR="00F34E7C" w:rsidRPr="00F34E7C" w:rsidRDefault="00F34E7C" w:rsidP="00F34E7C">
      <w:r w:rsidRPr="00F34E7C">
        <w:t>Místo plnění</w:t>
      </w:r>
      <w:r w:rsidRPr="00F34E7C">
        <w:tab/>
      </w:r>
      <w:r w:rsidRPr="00F34E7C">
        <w:tab/>
      </w:r>
      <w:r w:rsidRPr="00F34E7C">
        <w:tab/>
        <w:t>Město Strakonice</w:t>
      </w:r>
    </w:p>
    <w:p w:rsidR="00F34E7C" w:rsidRPr="00F34E7C" w:rsidRDefault="00F34E7C" w:rsidP="00F34E7C">
      <w:pPr>
        <w:rPr>
          <w:b/>
          <w:bCs/>
        </w:rPr>
      </w:pPr>
    </w:p>
    <w:p w:rsidR="00F34E7C" w:rsidRPr="00F34E7C" w:rsidRDefault="00F34E7C" w:rsidP="00F34E7C">
      <w:pPr>
        <w:rPr>
          <w:b/>
          <w:bCs/>
        </w:rPr>
      </w:pPr>
    </w:p>
    <w:p w:rsidR="00F34E7C" w:rsidRPr="00F34E7C" w:rsidRDefault="00F34E7C" w:rsidP="00F34E7C">
      <w:pPr>
        <w:jc w:val="both"/>
        <w:rPr>
          <w:b/>
        </w:rPr>
      </w:pP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  <w:r w:rsidRPr="00F34E7C">
        <w:rPr>
          <w:b/>
          <w:bCs/>
          <w:szCs w:val="20"/>
        </w:rPr>
        <w:t xml:space="preserve">4. Podmínky účasti v zadávacím řízení      </w:t>
      </w:r>
    </w:p>
    <w:p w:rsidR="00F34E7C" w:rsidRPr="00F34E7C" w:rsidRDefault="00F34E7C" w:rsidP="00F34E7C">
      <w:pPr>
        <w:jc w:val="both"/>
        <w:rPr>
          <w:i/>
          <w:iCs/>
        </w:rPr>
      </w:pPr>
    </w:p>
    <w:p w:rsidR="00F34E7C" w:rsidRPr="00F34E7C" w:rsidRDefault="00F34E7C" w:rsidP="00F34E7C">
      <w:pPr>
        <w:jc w:val="both"/>
        <w:rPr>
          <w:b/>
          <w:bCs/>
        </w:rPr>
      </w:pPr>
      <w:r w:rsidRPr="00F34E7C">
        <w:t>Nabídka uchazeče musí obsahovat:</w:t>
      </w:r>
      <w:r w:rsidRPr="00F34E7C">
        <w:rPr>
          <w:b/>
          <w:bCs/>
        </w:rPr>
        <w:t xml:space="preserve">  </w:t>
      </w:r>
    </w:p>
    <w:p w:rsidR="00F34E7C" w:rsidRPr="00F34E7C" w:rsidRDefault="00F34E7C" w:rsidP="00F34E7C">
      <w:pPr>
        <w:jc w:val="both"/>
      </w:pPr>
      <w:r w:rsidRPr="00F34E7C">
        <w:rPr>
          <w:b/>
          <w:bCs/>
        </w:rPr>
        <w:t xml:space="preserve">- </w:t>
      </w:r>
      <w:r w:rsidRPr="00F34E7C">
        <w:t xml:space="preserve">výpis z obchodního rejstříku či jiné evidence ne starší než 90 dní, je-li v nich uchazeč </w:t>
      </w:r>
    </w:p>
    <w:p w:rsidR="00F34E7C" w:rsidRPr="00F34E7C" w:rsidRDefault="00F34E7C" w:rsidP="00F34E7C">
      <w:pPr>
        <w:jc w:val="both"/>
      </w:pPr>
      <w:r w:rsidRPr="00F34E7C">
        <w:t xml:space="preserve">  zapsán,</w:t>
      </w:r>
    </w:p>
    <w:p w:rsidR="00F34E7C" w:rsidRPr="00F34E7C" w:rsidRDefault="00F34E7C" w:rsidP="00F34E7C">
      <w:pPr>
        <w:jc w:val="both"/>
      </w:pPr>
      <w:r w:rsidRPr="00F34E7C">
        <w:t xml:space="preserve">- doklad o oprávnění k podnikání podle zvláštních právních  předpisů v rozsahu  </w:t>
      </w:r>
    </w:p>
    <w:p w:rsidR="00F34E7C" w:rsidRPr="00F34E7C" w:rsidRDefault="00F34E7C" w:rsidP="00F34E7C">
      <w:pPr>
        <w:jc w:val="both"/>
      </w:pPr>
      <w:r w:rsidRPr="00F34E7C">
        <w:t xml:space="preserve">  odpovídajícím předmětu veřejné zakázky, zejména doklad prokazující příslušné  </w:t>
      </w:r>
    </w:p>
    <w:p w:rsidR="00F34E7C" w:rsidRPr="00F34E7C" w:rsidRDefault="00F34E7C" w:rsidP="00F34E7C">
      <w:pPr>
        <w:jc w:val="both"/>
      </w:pPr>
      <w:r w:rsidRPr="00F34E7C">
        <w:t xml:space="preserve">  živnostenské oprávnění či licenci,</w:t>
      </w:r>
    </w:p>
    <w:p w:rsidR="00F34E7C" w:rsidRPr="00F34E7C" w:rsidRDefault="00F34E7C" w:rsidP="00F34E7C">
      <w:pPr>
        <w:jc w:val="both"/>
      </w:pPr>
      <w:r w:rsidRPr="00F34E7C">
        <w:t>- uchazeč předloží podepsané čestné prohlášení, které je přílohou této výzvy (viz. Příloha č. 2),</w:t>
      </w:r>
    </w:p>
    <w:p w:rsidR="00F34E7C" w:rsidRPr="00F34E7C" w:rsidRDefault="00F34E7C" w:rsidP="00F34E7C">
      <w:pPr>
        <w:jc w:val="both"/>
        <w:rPr>
          <w:szCs w:val="22"/>
        </w:rPr>
      </w:pPr>
      <w:r w:rsidRPr="00F34E7C">
        <w:t>- u</w:t>
      </w:r>
      <w:r w:rsidRPr="00F34E7C">
        <w:rPr>
          <w:szCs w:val="22"/>
        </w:rPr>
        <w:t>chazeč se v nabídce prokáže dokladem výrobce nebo jím pověřeného zástupce opravňující</w:t>
      </w:r>
    </w:p>
    <w:p w:rsidR="00F34E7C" w:rsidRPr="00F34E7C" w:rsidRDefault="00F34E7C" w:rsidP="00F34E7C">
      <w:pPr>
        <w:jc w:val="both"/>
        <w:rPr>
          <w:szCs w:val="22"/>
        </w:rPr>
      </w:pPr>
      <w:r w:rsidRPr="00F34E7C">
        <w:rPr>
          <w:szCs w:val="22"/>
        </w:rPr>
        <w:t xml:space="preserve">  dodavatelskou a montážní organizaci k dodávkám konfiguraci a servisu zařízení, </w:t>
      </w:r>
      <w:proofErr w:type="gramStart"/>
      <w:r w:rsidRPr="00F34E7C">
        <w:rPr>
          <w:szCs w:val="22"/>
        </w:rPr>
        <w:t>dle</w:t>
      </w:r>
      <w:proofErr w:type="gramEnd"/>
      <w:r w:rsidRPr="00F34E7C">
        <w:rPr>
          <w:szCs w:val="22"/>
        </w:rPr>
        <w:t xml:space="preserve">  </w:t>
      </w:r>
    </w:p>
    <w:p w:rsidR="00F34E7C" w:rsidRPr="00F34E7C" w:rsidRDefault="00F34E7C" w:rsidP="00F34E7C">
      <w:pPr>
        <w:jc w:val="both"/>
      </w:pPr>
      <w:r w:rsidRPr="00F34E7C">
        <w:rPr>
          <w:szCs w:val="22"/>
        </w:rPr>
        <w:t xml:space="preserve">  uvedené specifikace zařízení, zejména kamer a záznamového zařízení.</w:t>
      </w:r>
    </w:p>
    <w:p w:rsidR="00F34E7C" w:rsidRPr="00F34E7C" w:rsidRDefault="00F34E7C" w:rsidP="00F34E7C">
      <w:pPr>
        <w:jc w:val="both"/>
      </w:pPr>
    </w:p>
    <w:p w:rsidR="00F34E7C" w:rsidRPr="00F34E7C" w:rsidRDefault="00F34E7C" w:rsidP="00F34E7C"/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  <w:r w:rsidRPr="00F34E7C">
        <w:rPr>
          <w:b/>
          <w:bCs/>
          <w:szCs w:val="20"/>
        </w:rPr>
        <w:t>5. Způsob hodnocení nabídek</w:t>
      </w:r>
    </w:p>
    <w:p w:rsidR="00F34E7C" w:rsidRPr="00F34E7C" w:rsidRDefault="00F34E7C" w:rsidP="00F34E7C">
      <w:pPr>
        <w:jc w:val="both"/>
        <w:rPr>
          <w:i/>
          <w:iCs/>
          <w:szCs w:val="20"/>
        </w:rPr>
      </w:pPr>
    </w:p>
    <w:p w:rsidR="00F34E7C" w:rsidRPr="00F34E7C" w:rsidRDefault="00F34E7C" w:rsidP="00F34E7C">
      <w:pPr>
        <w:jc w:val="both"/>
        <w:rPr>
          <w:szCs w:val="20"/>
        </w:rPr>
      </w:pPr>
      <w:r w:rsidRPr="00F34E7C">
        <w:rPr>
          <w:szCs w:val="20"/>
        </w:rPr>
        <w:t>Jediným hodnotícím kritériem je výše nabídkové ceny bez DPH.</w:t>
      </w:r>
    </w:p>
    <w:p w:rsidR="00F34E7C" w:rsidRPr="00F34E7C" w:rsidRDefault="00F34E7C" w:rsidP="00F34E7C">
      <w:pPr>
        <w:rPr>
          <w:szCs w:val="20"/>
        </w:rPr>
      </w:pP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  <w:r w:rsidRPr="00F34E7C">
        <w:rPr>
          <w:b/>
          <w:bCs/>
          <w:szCs w:val="20"/>
        </w:rPr>
        <w:t>6. Základní požadavky na obsah smlouvy</w:t>
      </w:r>
    </w:p>
    <w:p w:rsidR="00F34E7C" w:rsidRPr="00F34E7C" w:rsidRDefault="00F34E7C" w:rsidP="00F34E7C">
      <w:pPr>
        <w:rPr>
          <w:szCs w:val="20"/>
        </w:rPr>
      </w:pPr>
    </w:p>
    <w:p w:rsidR="00F34E7C" w:rsidRPr="00F34E7C" w:rsidRDefault="00F34E7C" w:rsidP="00F34E7C">
      <w:pPr>
        <w:jc w:val="both"/>
        <w:rPr>
          <w:szCs w:val="20"/>
        </w:rPr>
      </w:pPr>
    </w:p>
    <w:p w:rsidR="00F34E7C" w:rsidRPr="00F34E7C" w:rsidRDefault="00F34E7C" w:rsidP="00F34E7C">
      <w:pPr>
        <w:jc w:val="both"/>
        <w:rPr>
          <w:szCs w:val="20"/>
        </w:rPr>
      </w:pPr>
      <w:r w:rsidRPr="00F34E7C">
        <w:rPr>
          <w:szCs w:val="20"/>
        </w:rPr>
        <w:t xml:space="preserve">Uchazeč předloží písemný návrh smlouvy podepsaný statutárním zástupcem, resp. osobou, která je oprávněna jednat. </w:t>
      </w:r>
    </w:p>
    <w:p w:rsidR="00F34E7C" w:rsidRPr="00F34E7C" w:rsidRDefault="00F34E7C" w:rsidP="00F34E7C">
      <w:pPr>
        <w:jc w:val="both"/>
        <w:rPr>
          <w:szCs w:val="20"/>
        </w:rPr>
      </w:pPr>
      <w:r w:rsidRPr="00F34E7C">
        <w:rPr>
          <w:szCs w:val="20"/>
        </w:rPr>
        <w:t>Návrh smlouvy musí plně akceptovat požadavky stanovené ve výzvě - předmět plnění dle čl. 2 výzvy, celková cena musí obsahovat veškeré náklady nutné k plnění předmětu zakázky.</w:t>
      </w:r>
    </w:p>
    <w:p w:rsidR="00F34E7C" w:rsidRPr="00F34E7C" w:rsidRDefault="00F34E7C" w:rsidP="00F34E7C">
      <w:pPr>
        <w:jc w:val="both"/>
        <w:rPr>
          <w:szCs w:val="20"/>
        </w:rPr>
      </w:pPr>
      <w:r w:rsidRPr="00F34E7C">
        <w:rPr>
          <w:szCs w:val="20"/>
        </w:rPr>
        <w:t>V případě prodlení plnění ze strany uchazeče je zadavatel oprávněn uplatnit smluvní pokutu ve výši 0,1 % celkové ceny předmětu smlouvy za každý i započatý den prodlení. Smluvní pokutu může zadavatel jednostranně započíst vůči ceně předmětu smlouvy.</w:t>
      </w:r>
    </w:p>
    <w:p w:rsidR="00F34E7C" w:rsidRPr="00F34E7C" w:rsidRDefault="00F34E7C" w:rsidP="00F34E7C">
      <w:pPr>
        <w:jc w:val="both"/>
        <w:rPr>
          <w:szCs w:val="20"/>
        </w:rPr>
      </w:pPr>
      <w:r w:rsidRPr="00F34E7C">
        <w:rPr>
          <w:szCs w:val="20"/>
        </w:rPr>
        <w:t>Základní požadavky na platební podmínky:</w:t>
      </w:r>
    </w:p>
    <w:p w:rsidR="00F34E7C" w:rsidRPr="00F34E7C" w:rsidRDefault="00F34E7C" w:rsidP="00F34E7C">
      <w:pPr>
        <w:jc w:val="both"/>
      </w:pPr>
      <w:r w:rsidRPr="00F34E7C">
        <w:t>- po převzetí předmětu smlouvy vystaví uchazeč fakturu na dohodnutou částku, faktura musí mít náležitosti účetního a daňového dokladu se splatností 30 dní ode dne doručení faktury zadavateli. Stejný termín splatnosti platí pro smluvní strany i při placení jiných plateb (např. úroků z prodlení, smluvních pokut, náhrady škody).</w:t>
      </w:r>
    </w:p>
    <w:p w:rsidR="00F34E7C" w:rsidRPr="00F34E7C" w:rsidRDefault="00F34E7C" w:rsidP="00F34E7C">
      <w:pPr>
        <w:jc w:val="both"/>
      </w:pPr>
    </w:p>
    <w:p w:rsidR="00F34E7C" w:rsidRPr="00F34E7C" w:rsidRDefault="00F34E7C" w:rsidP="00F34E7C">
      <w:pPr>
        <w:jc w:val="both"/>
      </w:pPr>
    </w:p>
    <w:p w:rsidR="00F34E7C" w:rsidRPr="00F34E7C" w:rsidRDefault="00F34E7C" w:rsidP="00F34E7C">
      <w:pPr>
        <w:jc w:val="both"/>
      </w:pPr>
    </w:p>
    <w:p w:rsidR="00F34E7C" w:rsidRPr="00F34E7C" w:rsidRDefault="00F34E7C" w:rsidP="00F34E7C">
      <w:r w:rsidRPr="00F34E7C">
        <w:lastRenderedPageBreak/>
        <w:t xml:space="preserve">Návrh smlouvy musí obsahovat ocenění následujících </w:t>
      </w:r>
      <w:proofErr w:type="gramStart"/>
      <w:r w:rsidRPr="00F34E7C">
        <w:t>položek : Viz</w:t>
      </w:r>
      <w:proofErr w:type="gramEnd"/>
      <w:r w:rsidRPr="00F34E7C">
        <w:t>. Příloha č. 1 (rozpočet bez cen)</w:t>
      </w:r>
    </w:p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>
      <w:r w:rsidRPr="00F34E7C">
        <w:t>Smlouva musí obsahovat:</w:t>
      </w:r>
    </w:p>
    <w:p w:rsidR="00F34E7C" w:rsidRPr="00F34E7C" w:rsidRDefault="00F34E7C" w:rsidP="00F34E7C"/>
    <w:p w:rsidR="00F34E7C" w:rsidRPr="00F34E7C" w:rsidRDefault="00F34E7C" w:rsidP="00F34E7C">
      <w:pPr>
        <w:numPr>
          <w:ilvl w:val="0"/>
          <w:numId w:val="1"/>
        </w:numPr>
      </w:pPr>
      <w:r w:rsidRPr="00F34E7C">
        <w:t>Identifikace smluvních stran</w:t>
      </w:r>
    </w:p>
    <w:p w:rsidR="00F34E7C" w:rsidRPr="00F34E7C" w:rsidRDefault="00F34E7C" w:rsidP="00F34E7C"/>
    <w:p w:rsidR="00F34E7C" w:rsidRPr="00F34E7C" w:rsidRDefault="00F34E7C" w:rsidP="00F34E7C">
      <w:r w:rsidRPr="00F34E7C">
        <w:t>- uvádět identifikační údaje v souladu se záznamy v příslušném rejstříku</w:t>
      </w:r>
    </w:p>
    <w:p w:rsidR="00F34E7C" w:rsidRPr="00F34E7C" w:rsidRDefault="00F34E7C" w:rsidP="00F34E7C">
      <w:r w:rsidRPr="00F34E7C">
        <w:t>- uvádět pouze osoby oprávněné k uzavření smlouvy</w:t>
      </w:r>
    </w:p>
    <w:p w:rsidR="00F34E7C" w:rsidRPr="00F34E7C" w:rsidRDefault="00F34E7C" w:rsidP="00F34E7C"/>
    <w:p w:rsidR="00F34E7C" w:rsidRPr="00F34E7C" w:rsidRDefault="00F34E7C" w:rsidP="00F34E7C">
      <w:pPr>
        <w:numPr>
          <w:ilvl w:val="0"/>
          <w:numId w:val="1"/>
        </w:numPr>
      </w:pPr>
      <w:r w:rsidRPr="00F34E7C">
        <w:t>Předmět plnění</w:t>
      </w:r>
    </w:p>
    <w:p w:rsidR="00F34E7C" w:rsidRPr="00F34E7C" w:rsidRDefault="00F34E7C" w:rsidP="00F34E7C"/>
    <w:p w:rsidR="00F34E7C" w:rsidRPr="00F34E7C" w:rsidRDefault="00F34E7C" w:rsidP="00F34E7C">
      <w:r w:rsidRPr="00F34E7C">
        <w:t>- vyspecifikovat jednoznačně předmět plnění</w:t>
      </w:r>
    </w:p>
    <w:p w:rsidR="00F34E7C" w:rsidRPr="00F34E7C" w:rsidRDefault="00F34E7C" w:rsidP="00F34E7C">
      <w:r w:rsidRPr="00F34E7C">
        <w:t>- předmět plnění musí být identický s vymezeným předmětem plnění specifikovaným v zadávacích podmínkách</w:t>
      </w:r>
    </w:p>
    <w:p w:rsidR="00F34E7C" w:rsidRPr="00F34E7C" w:rsidRDefault="00F34E7C" w:rsidP="00F34E7C"/>
    <w:p w:rsidR="00F34E7C" w:rsidRPr="00F34E7C" w:rsidRDefault="00F34E7C" w:rsidP="00F34E7C">
      <w:pPr>
        <w:numPr>
          <w:ilvl w:val="0"/>
          <w:numId w:val="1"/>
        </w:numPr>
      </w:pPr>
      <w:r w:rsidRPr="00F34E7C">
        <w:t>Cena</w:t>
      </w:r>
    </w:p>
    <w:p w:rsidR="00F34E7C" w:rsidRPr="00F34E7C" w:rsidRDefault="00F34E7C" w:rsidP="00F34E7C"/>
    <w:p w:rsidR="00F34E7C" w:rsidRPr="00F34E7C" w:rsidRDefault="00F34E7C" w:rsidP="00F34E7C">
      <w:r w:rsidRPr="00F34E7C">
        <w:t>- cenu uvést bez daně z přidané hodnoty, výše daně z přidané hodnoty v Kč, respektive její sazbu, cenu včetně daně z přidané hodnoty</w:t>
      </w:r>
    </w:p>
    <w:p w:rsidR="00F34E7C" w:rsidRPr="00F34E7C" w:rsidRDefault="00F34E7C" w:rsidP="00F34E7C"/>
    <w:p w:rsidR="00F34E7C" w:rsidRPr="00F34E7C" w:rsidRDefault="00F34E7C" w:rsidP="00F34E7C">
      <w:pPr>
        <w:numPr>
          <w:ilvl w:val="0"/>
          <w:numId w:val="1"/>
        </w:numPr>
      </w:pPr>
      <w:r w:rsidRPr="00F34E7C">
        <w:t>Termín a místo plnění</w:t>
      </w:r>
    </w:p>
    <w:p w:rsidR="00F34E7C" w:rsidRPr="00F34E7C" w:rsidRDefault="00F34E7C" w:rsidP="00F34E7C"/>
    <w:p w:rsidR="00F34E7C" w:rsidRPr="00F34E7C" w:rsidRDefault="00F34E7C" w:rsidP="00F34E7C">
      <w:r w:rsidRPr="00F34E7C">
        <w:t>- uvést termíny vyplývající ze zadávacího řízení, taktéž místo plnění</w:t>
      </w:r>
    </w:p>
    <w:p w:rsidR="00F34E7C" w:rsidRPr="00F34E7C" w:rsidRDefault="00F34E7C" w:rsidP="00F34E7C"/>
    <w:p w:rsidR="00F34E7C" w:rsidRPr="00F34E7C" w:rsidRDefault="00F34E7C" w:rsidP="00F34E7C">
      <w:pPr>
        <w:numPr>
          <w:ilvl w:val="0"/>
          <w:numId w:val="1"/>
        </w:numPr>
      </w:pPr>
      <w:r w:rsidRPr="00F34E7C">
        <w:t>Sankce</w:t>
      </w:r>
    </w:p>
    <w:p w:rsidR="00F34E7C" w:rsidRPr="00F34E7C" w:rsidRDefault="00F34E7C" w:rsidP="00F34E7C"/>
    <w:p w:rsidR="00F34E7C" w:rsidRPr="00F34E7C" w:rsidRDefault="00F34E7C" w:rsidP="00F34E7C">
      <w:r w:rsidRPr="00F34E7C">
        <w:t>- sankce musí být vyvážené, nesmí zvýhodňovat žádnou ze smluvních stran</w:t>
      </w:r>
    </w:p>
    <w:p w:rsidR="00F34E7C" w:rsidRPr="00F34E7C" w:rsidRDefault="00F34E7C" w:rsidP="00F34E7C">
      <w:r w:rsidRPr="00F34E7C">
        <w:t>- Záruční za jakost</w:t>
      </w:r>
    </w:p>
    <w:p w:rsidR="00F34E7C" w:rsidRPr="00F34E7C" w:rsidRDefault="00F34E7C" w:rsidP="00F34E7C">
      <w:r w:rsidRPr="00F34E7C">
        <w:t xml:space="preserve">   viz ustanovení § 2113 až 2117 zákona č. 89 / 2012 Sb., občanský zákoník</w:t>
      </w:r>
    </w:p>
    <w:p w:rsidR="00F34E7C" w:rsidRPr="00F34E7C" w:rsidRDefault="00F34E7C" w:rsidP="00F34E7C"/>
    <w:p w:rsidR="00F34E7C" w:rsidRPr="00F34E7C" w:rsidRDefault="00F34E7C" w:rsidP="00F34E7C">
      <w:pPr>
        <w:numPr>
          <w:ilvl w:val="0"/>
          <w:numId w:val="1"/>
        </w:numPr>
      </w:pPr>
      <w:r w:rsidRPr="00F34E7C">
        <w:t>Právní režim</w:t>
      </w:r>
    </w:p>
    <w:p w:rsidR="00F34E7C" w:rsidRPr="00F34E7C" w:rsidRDefault="00F34E7C" w:rsidP="00F34E7C"/>
    <w:p w:rsidR="00F34E7C" w:rsidRPr="00F34E7C" w:rsidRDefault="00F34E7C" w:rsidP="00F34E7C">
      <w:r w:rsidRPr="00F34E7C">
        <w:t>- platná ustanovení zákona č. 89 / 2012 Sb.</w:t>
      </w:r>
    </w:p>
    <w:p w:rsidR="00F34E7C" w:rsidRPr="00F34E7C" w:rsidRDefault="00F34E7C" w:rsidP="00F34E7C"/>
    <w:p w:rsidR="00F34E7C" w:rsidRPr="00F34E7C" w:rsidRDefault="00F34E7C" w:rsidP="00F34E7C">
      <w:pPr>
        <w:numPr>
          <w:ilvl w:val="0"/>
          <w:numId w:val="1"/>
        </w:numPr>
      </w:pPr>
      <w:r w:rsidRPr="00F34E7C">
        <w:t>Přílohy</w:t>
      </w:r>
    </w:p>
    <w:p w:rsidR="00F34E7C" w:rsidRPr="00F34E7C" w:rsidRDefault="00F34E7C" w:rsidP="00F34E7C"/>
    <w:p w:rsidR="00F34E7C" w:rsidRPr="00F34E7C" w:rsidRDefault="00F34E7C" w:rsidP="00F34E7C">
      <w:r w:rsidRPr="00F34E7C">
        <w:t>- připojovat přílohy tvořící nedílnou součást smluvního dokumentu</w:t>
      </w:r>
    </w:p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i/>
          <w:iCs/>
          <w:szCs w:val="20"/>
        </w:rPr>
      </w:pPr>
      <w:r w:rsidRPr="00F34E7C">
        <w:rPr>
          <w:b/>
          <w:bCs/>
          <w:szCs w:val="20"/>
        </w:rPr>
        <w:t>7. Místo a způsob pro podání nabídek</w:t>
      </w:r>
    </w:p>
    <w:p w:rsidR="00F34E7C" w:rsidRPr="00F34E7C" w:rsidRDefault="00F34E7C" w:rsidP="00F34E7C"/>
    <w:p w:rsidR="00F34E7C" w:rsidRPr="00F34E7C" w:rsidRDefault="00F34E7C" w:rsidP="00F34E7C">
      <w:pPr>
        <w:jc w:val="both"/>
      </w:pPr>
      <w:r w:rsidRPr="00F34E7C">
        <w:t xml:space="preserve">Závazné nabídky v písemné formě v jednom vyhotovení a podepsané statutárním zástupcem uchazeče mohou uchazeči doručit osobně na podatelnu </w:t>
      </w:r>
      <w:proofErr w:type="spellStart"/>
      <w:r w:rsidRPr="00F34E7C">
        <w:t>MěÚ</w:t>
      </w:r>
      <w:proofErr w:type="spellEnd"/>
      <w:r w:rsidRPr="00F34E7C">
        <w:t xml:space="preserve"> Strakonice, nebo poštou na adresu sídla zadavatele. Rozhodující pro zařazení nabídky do zadávacího řízení je příjmové razítko podatelny </w:t>
      </w:r>
      <w:proofErr w:type="spellStart"/>
      <w:r w:rsidRPr="00F34E7C">
        <w:t>MěÚ</w:t>
      </w:r>
      <w:proofErr w:type="spellEnd"/>
      <w:r w:rsidRPr="00F34E7C">
        <w:t xml:space="preserve"> Strakonice s uvedením data, hodiny a minuty přijetí nabídky</w:t>
      </w:r>
      <w:r w:rsidRPr="00F34E7C">
        <w:rPr>
          <w:i/>
          <w:iCs/>
        </w:rPr>
        <w:t>.</w:t>
      </w:r>
    </w:p>
    <w:p w:rsidR="00F34E7C" w:rsidRPr="00F34E7C" w:rsidRDefault="00F34E7C" w:rsidP="00F34E7C">
      <w:r w:rsidRPr="00F34E7C">
        <w:t xml:space="preserve"> </w:t>
      </w:r>
    </w:p>
    <w:p w:rsidR="00F34E7C" w:rsidRPr="00F34E7C" w:rsidRDefault="00F34E7C" w:rsidP="00F34E7C">
      <w:r w:rsidRPr="00F34E7C">
        <w:lastRenderedPageBreak/>
        <w:t xml:space="preserve">Nabídky budou zadavateli doručeny v uzavřených obálkách označených jménem uchazeče a nápisem:  </w:t>
      </w:r>
      <w:proofErr w:type="gramStart"/>
      <w:r w:rsidRPr="00F34E7C">
        <w:t>NABÍDKA : „Strakonice</w:t>
      </w:r>
      <w:proofErr w:type="gramEnd"/>
      <w:r w:rsidRPr="00F34E7C">
        <w:t xml:space="preserve"> – reprodukce městského kamerového dohlížecího systému  - NEOTVÍRAT“</w:t>
      </w:r>
    </w:p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  <w:r w:rsidRPr="00F34E7C">
        <w:rPr>
          <w:b/>
          <w:bCs/>
          <w:szCs w:val="20"/>
        </w:rPr>
        <w:t>8. Lhůta pro podání nabídek</w:t>
      </w:r>
    </w:p>
    <w:p w:rsidR="00F34E7C" w:rsidRPr="00F34E7C" w:rsidRDefault="00F34E7C" w:rsidP="00F34E7C">
      <w:pPr>
        <w:rPr>
          <w:b/>
          <w:szCs w:val="20"/>
        </w:rPr>
      </w:pPr>
    </w:p>
    <w:p w:rsidR="00F34E7C" w:rsidRPr="00F34E7C" w:rsidRDefault="00F34E7C" w:rsidP="00F34E7C">
      <w:pPr>
        <w:rPr>
          <w:bCs/>
          <w:szCs w:val="20"/>
        </w:rPr>
      </w:pPr>
      <w:r w:rsidRPr="00F34E7C">
        <w:rPr>
          <w:bCs/>
          <w:szCs w:val="20"/>
        </w:rPr>
        <w:t>Lhůta pro podání nabídek končí:            10. 7. 2020, 10. 00 hodin</w:t>
      </w:r>
    </w:p>
    <w:p w:rsidR="00F34E7C" w:rsidRPr="00F34E7C" w:rsidRDefault="00F34E7C" w:rsidP="00F34E7C">
      <w:pPr>
        <w:rPr>
          <w:rFonts w:eastAsia="Arial Unicode MS"/>
        </w:rPr>
      </w:pPr>
    </w:p>
    <w:p w:rsidR="00F34E7C" w:rsidRPr="00F34E7C" w:rsidRDefault="00F34E7C" w:rsidP="00F34E7C">
      <w:pPr>
        <w:rPr>
          <w:rFonts w:eastAsia="Arial Unicode MS"/>
        </w:rPr>
      </w:pPr>
      <w:r w:rsidRPr="00F34E7C">
        <w:rPr>
          <w:rFonts w:eastAsia="Arial Unicode MS"/>
        </w:rPr>
        <w:t>Otevírání obálek s nabídkami bude zahájeno ihned po uplynutí lhůty pro podání nabídek.</w:t>
      </w: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  <w:r w:rsidRPr="00F34E7C">
        <w:rPr>
          <w:b/>
          <w:bCs/>
          <w:szCs w:val="20"/>
        </w:rPr>
        <w:t>9. Výhrady zadavatele</w:t>
      </w:r>
    </w:p>
    <w:p w:rsidR="00F34E7C" w:rsidRPr="00F34E7C" w:rsidRDefault="00F34E7C" w:rsidP="00F34E7C">
      <w:pPr>
        <w:jc w:val="both"/>
        <w:rPr>
          <w:bCs/>
          <w:szCs w:val="20"/>
        </w:rPr>
      </w:pPr>
    </w:p>
    <w:p w:rsidR="00F34E7C" w:rsidRPr="00F34E7C" w:rsidRDefault="00F34E7C" w:rsidP="00F34E7C">
      <w:pPr>
        <w:jc w:val="both"/>
        <w:rPr>
          <w:bCs/>
          <w:szCs w:val="20"/>
        </w:rPr>
      </w:pPr>
      <w:r w:rsidRPr="00F34E7C">
        <w:rPr>
          <w:bCs/>
          <w:szCs w:val="20"/>
        </w:rPr>
        <w:t>Zadavatel si vyhrazuje právo:</w:t>
      </w:r>
    </w:p>
    <w:p w:rsidR="00F34E7C" w:rsidRPr="00F34E7C" w:rsidRDefault="00F34E7C" w:rsidP="00F34E7C">
      <w:pPr>
        <w:jc w:val="both"/>
        <w:rPr>
          <w:szCs w:val="20"/>
        </w:rPr>
      </w:pPr>
      <w:r w:rsidRPr="00F34E7C">
        <w:rPr>
          <w:szCs w:val="20"/>
        </w:rPr>
        <w:t>- zrušit zadání veřejné zakázky (výzvu) bez udání důvodů a nevrátit žádnému z uchazečů podanou nabídku,</w:t>
      </w:r>
    </w:p>
    <w:p w:rsidR="00F34E7C" w:rsidRPr="00F34E7C" w:rsidRDefault="00F34E7C" w:rsidP="00F34E7C">
      <w:pPr>
        <w:jc w:val="both"/>
        <w:rPr>
          <w:bCs/>
          <w:szCs w:val="20"/>
        </w:rPr>
      </w:pPr>
      <w:r w:rsidRPr="00F34E7C">
        <w:rPr>
          <w:bCs/>
          <w:szCs w:val="20"/>
        </w:rPr>
        <w:t>- odmítnout všechny nabídky, nevybrat žádnou z předložených nabídek,</w:t>
      </w:r>
    </w:p>
    <w:p w:rsidR="00F34E7C" w:rsidRPr="00F34E7C" w:rsidRDefault="00F34E7C" w:rsidP="00F34E7C">
      <w:pPr>
        <w:jc w:val="both"/>
        <w:rPr>
          <w:bCs/>
          <w:szCs w:val="20"/>
        </w:rPr>
      </w:pPr>
      <w:r w:rsidRPr="00F34E7C">
        <w:rPr>
          <w:bCs/>
          <w:szCs w:val="20"/>
        </w:rPr>
        <w:t>- před rozhodnutím o výběru nejvhodnější nabídky ověřit informace deklarované uchazeči v nabídce,</w:t>
      </w:r>
    </w:p>
    <w:p w:rsidR="00F34E7C" w:rsidRPr="00F34E7C" w:rsidRDefault="00F34E7C" w:rsidP="00F34E7C">
      <w:pPr>
        <w:jc w:val="both"/>
        <w:rPr>
          <w:bCs/>
          <w:szCs w:val="20"/>
        </w:rPr>
      </w:pPr>
      <w:r w:rsidRPr="00F34E7C">
        <w:rPr>
          <w:bCs/>
          <w:szCs w:val="20"/>
        </w:rPr>
        <w:t>- neuzavřít příslušnou smlouvu,</w:t>
      </w:r>
    </w:p>
    <w:p w:rsidR="00F34E7C" w:rsidRPr="00F34E7C" w:rsidRDefault="00F34E7C" w:rsidP="00F34E7C">
      <w:pPr>
        <w:jc w:val="both"/>
        <w:rPr>
          <w:bCs/>
          <w:szCs w:val="20"/>
        </w:rPr>
      </w:pPr>
      <w:r w:rsidRPr="00F34E7C">
        <w:rPr>
          <w:bCs/>
          <w:szCs w:val="20"/>
        </w:rPr>
        <w:t>- dodatečně upravit rozsah předmětu plnění veřejné zakázky.</w:t>
      </w:r>
    </w:p>
    <w:p w:rsidR="00F34E7C" w:rsidRPr="00F34E7C" w:rsidRDefault="00F34E7C" w:rsidP="00F34E7C">
      <w:pPr>
        <w:jc w:val="both"/>
        <w:rPr>
          <w:bCs/>
          <w:szCs w:val="20"/>
        </w:rPr>
      </w:pPr>
      <w:r w:rsidRPr="00F34E7C">
        <w:rPr>
          <w:bCs/>
          <w:szCs w:val="20"/>
        </w:rPr>
        <w:t>Zadavatel variantní řešení nepřipouští.</w:t>
      </w:r>
    </w:p>
    <w:p w:rsidR="00F34E7C" w:rsidRPr="00F34E7C" w:rsidRDefault="00F34E7C" w:rsidP="00F34E7C">
      <w:pPr>
        <w:rPr>
          <w:bCs/>
          <w:szCs w:val="20"/>
        </w:rPr>
      </w:pPr>
      <w:r w:rsidRPr="00F34E7C">
        <w:rPr>
          <w:bCs/>
          <w:szCs w:val="20"/>
        </w:rPr>
        <w:t xml:space="preserve">  </w:t>
      </w: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/>
          <w:bCs/>
          <w:szCs w:val="20"/>
        </w:rPr>
      </w:pPr>
      <w:r w:rsidRPr="00F34E7C">
        <w:rPr>
          <w:b/>
          <w:bCs/>
          <w:szCs w:val="20"/>
        </w:rPr>
        <w:t>10. Ostatní podmínky a požadavky</w:t>
      </w:r>
    </w:p>
    <w:p w:rsidR="00F34E7C" w:rsidRPr="00F34E7C" w:rsidRDefault="00F34E7C" w:rsidP="00F34E7C">
      <w:pPr>
        <w:rPr>
          <w:bCs/>
          <w:szCs w:val="20"/>
        </w:rPr>
      </w:pPr>
    </w:p>
    <w:p w:rsidR="00F34E7C" w:rsidRPr="00F34E7C" w:rsidRDefault="00F34E7C" w:rsidP="00F34E7C">
      <w:pPr>
        <w:jc w:val="both"/>
      </w:pPr>
      <w:r w:rsidRPr="00F34E7C">
        <w:t xml:space="preserve">Písemná nabídka bude zpracována v českém jazyce. Kompletní nabídka bude datována, opatřena podpisem oprávněné osoby, otiskem razítka a zabezpečena proti manipulaci sešitím celé nabídky. </w:t>
      </w:r>
    </w:p>
    <w:p w:rsidR="00F34E7C" w:rsidRPr="00F34E7C" w:rsidRDefault="00F34E7C" w:rsidP="00F34E7C">
      <w:pPr>
        <w:jc w:val="both"/>
        <w:rPr>
          <w:b/>
          <w:i/>
          <w:iCs/>
          <w:szCs w:val="20"/>
        </w:rPr>
      </w:pPr>
      <w:r w:rsidRPr="00F34E7C">
        <w:rPr>
          <w:szCs w:val="20"/>
        </w:rPr>
        <w:t>Pokud uchazeč nesplní podmínky výzvy, bude jeho nabídka vyřazena.</w:t>
      </w:r>
    </w:p>
    <w:p w:rsidR="00F34E7C" w:rsidRPr="00F34E7C" w:rsidRDefault="00F34E7C" w:rsidP="00F34E7C">
      <w:pPr>
        <w:jc w:val="both"/>
        <w:rPr>
          <w:b/>
          <w:szCs w:val="20"/>
        </w:rPr>
      </w:pPr>
    </w:p>
    <w:p w:rsidR="00F34E7C" w:rsidRPr="00F34E7C" w:rsidRDefault="00F34E7C" w:rsidP="00F34E7C">
      <w:pPr>
        <w:jc w:val="both"/>
      </w:pPr>
      <w:r w:rsidRPr="00F34E7C">
        <w:t xml:space="preserve">Tato výzva k podání nabídky na realizaci veřejné zakázky malého rozsahu je zveřejněna na webových stránkách města Strakonice za účelem možnosti podání nabídky neomezeným počtem uchazečů.  </w:t>
      </w:r>
    </w:p>
    <w:p w:rsidR="00F34E7C" w:rsidRPr="00F34E7C" w:rsidRDefault="00F34E7C" w:rsidP="00F34E7C">
      <w:pPr>
        <w:jc w:val="both"/>
        <w:rPr>
          <w:szCs w:val="20"/>
        </w:rPr>
      </w:pPr>
    </w:p>
    <w:p w:rsidR="00F34E7C" w:rsidRPr="00F34E7C" w:rsidRDefault="00F34E7C" w:rsidP="00F34E7C">
      <w:pPr>
        <w:jc w:val="both"/>
        <w:rPr>
          <w:szCs w:val="20"/>
        </w:rPr>
      </w:pPr>
      <w:r w:rsidRPr="00F34E7C">
        <w:rPr>
          <w:szCs w:val="20"/>
        </w:rPr>
        <w:t>Zadávací dokumentace je k vyzvednutí na MP Strakonice, Komenského 328.</w:t>
      </w:r>
    </w:p>
    <w:p w:rsidR="00F34E7C" w:rsidRPr="00F34E7C" w:rsidRDefault="00F34E7C" w:rsidP="00F34E7C">
      <w:pPr>
        <w:jc w:val="both"/>
        <w:rPr>
          <w:szCs w:val="20"/>
        </w:rPr>
      </w:pPr>
    </w:p>
    <w:p w:rsidR="00F34E7C" w:rsidRPr="00F34E7C" w:rsidRDefault="00F34E7C" w:rsidP="00F34E7C">
      <w:pPr>
        <w:jc w:val="both"/>
        <w:rPr>
          <w:szCs w:val="20"/>
        </w:rPr>
      </w:pPr>
    </w:p>
    <w:p w:rsidR="00F34E7C" w:rsidRPr="00F34E7C" w:rsidRDefault="00F34E7C" w:rsidP="00F34E7C">
      <w:pPr>
        <w:jc w:val="both"/>
        <w:rPr>
          <w:szCs w:val="20"/>
        </w:rPr>
      </w:pPr>
    </w:p>
    <w:p w:rsidR="00F34E7C" w:rsidRPr="00F34E7C" w:rsidRDefault="00F34E7C" w:rsidP="00F34E7C">
      <w:pPr>
        <w:jc w:val="both"/>
      </w:pPr>
      <w:r w:rsidRPr="00F34E7C">
        <w:t xml:space="preserve">Případné bližší informace lze získat na MP Strakonice, Milan Michálek,  tel. 383 700 189, </w:t>
      </w:r>
    </w:p>
    <w:p w:rsidR="00F34E7C" w:rsidRPr="00F34E7C" w:rsidRDefault="00F34E7C" w:rsidP="00F34E7C">
      <w:pPr>
        <w:jc w:val="both"/>
      </w:pPr>
      <w:r w:rsidRPr="00F34E7C">
        <w:t xml:space="preserve">e-mail </w:t>
      </w:r>
      <w:hyperlink r:id="rId7" w:history="1">
        <w:r w:rsidRPr="00F34E7C">
          <w:rPr>
            <w:color w:val="0000FF"/>
            <w:u w:val="single"/>
          </w:rPr>
          <w:t>mmichalek@mpstrakonice.cz</w:t>
        </w:r>
      </w:hyperlink>
    </w:p>
    <w:p w:rsidR="00F34E7C" w:rsidRPr="00F34E7C" w:rsidRDefault="00F34E7C" w:rsidP="00F34E7C">
      <w:pPr>
        <w:jc w:val="both"/>
      </w:pPr>
    </w:p>
    <w:p w:rsidR="00F34E7C" w:rsidRPr="00F34E7C" w:rsidRDefault="00F34E7C" w:rsidP="00F34E7C">
      <w:pPr>
        <w:jc w:val="both"/>
      </w:pPr>
    </w:p>
    <w:p w:rsidR="00F34E7C" w:rsidRPr="00F34E7C" w:rsidRDefault="00F34E7C" w:rsidP="00F34E7C">
      <w:pPr>
        <w:jc w:val="both"/>
      </w:pPr>
      <w:r w:rsidRPr="00F34E7C">
        <w:t xml:space="preserve">         Milan Michálek</w:t>
      </w:r>
    </w:p>
    <w:p w:rsidR="00F34E7C" w:rsidRPr="00F34E7C" w:rsidRDefault="00F34E7C" w:rsidP="00F34E7C">
      <w:pPr>
        <w:jc w:val="both"/>
      </w:pPr>
      <w:r w:rsidRPr="00F34E7C">
        <w:t>..................................................</w:t>
      </w:r>
    </w:p>
    <w:p w:rsidR="00F34E7C" w:rsidRPr="00F34E7C" w:rsidRDefault="00F34E7C" w:rsidP="00F34E7C">
      <w:pPr>
        <w:jc w:val="both"/>
      </w:pPr>
      <w:r w:rsidRPr="00F34E7C">
        <w:t>velitel strážníků  MP Strakonice</w:t>
      </w:r>
    </w:p>
    <w:p w:rsidR="00F34E7C" w:rsidRPr="00F34E7C" w:rsidRDefault="00F34E7C" w:rsidP="00F34E7C">
      <w:pPr>
        <w:sectPr w:rsidR="00F34E7C" w:rsidRPr="00F34E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05"/>
        <w:gridCol w:w="251"/>
        <w:gridCol w:w="250"/>
        <w:gridCol w:w="1307"/>
        <w:gridCol w:w="250"/>
        <w:gridCol w:w="250"/>
        <w:gridCol w:w="3087"/>
        <w:gridCol w:w="520"/>
      </w:tblGrid>
      <w:tr w:rsidR="00F34E7C" w:rsidRPr="00F34E7C" w:rsidTr="00131EC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lastRenderedPageBreak/>
              <w:t> </w:t>
            </w:r>
          </w:p>
        </w:tc>
        <w:tc>
          <w:tcPr>
            <w:tcW w:w="90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bCs/>
              </w:rPr>
            </w:pPr>
            <w:r w:rsidRPr="00F34E7C">
              <w:rPr>
                <w:rFonts w:ascii="Times New Roman CE" w:hAnsi="Times New Roman CE" w:cs="Times New Roman CE"/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F34E7C">
              <w:rPr>
                <w:rFonts w:ascii="Times New Roman CE" w:hAnsi="Times New Roman CE" w:cs="Times New Roman CE"/>
                <w:bCs/>
              </w:rPr>
              <w:t>Příloha č. 1</w:t>
            </w:r>
          </w:p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</w:p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</w:p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</w:p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</w:p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</w:p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</w:p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  <w:r w:rsidRPr="00F34E7C">
              <w:rPr>
                <w:rFonts w:ascii="Times New Roman CE" w:hAnsi="Times New Roman CE" w:cs="Times New Roman CE"/>
                <w:b/>
                <w:bCs/>
              </w:rPr>
              <w:t>Městská policie Strakonice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center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</w:tr>
      <w:tr w:rsidR="00F34E7C" w:rsidRPr="00F34E7C" w:rsidTr="00131EC7">
        <w:trPr>
          <w:trHeight w:val="4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90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center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</w:tr>
      <w:tr w:rsidR="00F34E7C" w:rsidRPr="00F34E7C" w:rsidTr="00131EC7">
        <w:trPr>
          <w:trHeight w:val="4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  <w:r w:rsidRPr="00F34E7C">
              <w:rPr>
                <w:rFonts w:ascii="Times New Roman CE" w:hAnsi="Times New Roman CE" w:cs="Times New Roman CE"/>
                <w:b/>
                <w:bCs/>
              </w:rPr>
              <w:t xml:space="preserve">Dodávka licence GSC – VMD/VMX </w:t>
            </w:r>
            <w:r w:rsidRPr="00F34E7C">
              <w:rPr>
                <w:rFonts w:ascii="Times New Roman CE" w:hAnsi="Times New Roman CE" w:cs="Times New Roman CE"/>
                <w:bCs/>
              </w:rPr>
              <w:t>v rámci akce</w:t>
            </w:r>
            <w:r w:rsidRPr="00F34E7C">
              <w:rPr>
                <w:rFonts w:ascii="Times New Roman CE" w:hAnsi="Times New Roman CE" w:cs="Times New Roman CE"/>
                <w:b/>
                <w:bCs/>
              </w:rPr>
              <w:t xml:space="preserve"> </w:t>
            </w:r>
            <w:r w:rsidRPr="00F34E7C">
              <w:t>„Strakonice – reprodukce městského kamerového dohlížecího systému“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center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Montáž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Kč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Dodávka technologie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Kč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Mechanizace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Kč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Doprava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Kč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</w:tr>
      <w:tr w:rsidR="00F34E7C" w:rsidRPr="00F34E7C" w:rsidTr="00131EC7">
        <w:trPr>
          <w:trHeight w:val="1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</w:tr>
      <w:tr w:rsidR="00F34E7C" w:rsidRPr="00F34E7C" w:rsidTr="00131EC7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Celkem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Kč</w:t>
            </w:r>
          </w:p>
        </w:tc>
      </w:tr>
      <w:tr w:rsidR="00F34E7C" w:rsidRPr="00F34E7C" w:rsidTr="00131EC7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VRN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2%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Kč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Inženýrská činnost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3%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Kč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Celkem  bez DPH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  <w:r w:rsidRPr="00F34E7C">
              <w:rPr>
                <w:rFonts w:ascii="Times New Roman CE" w:hAnsi="Times New Roman CE" w:cs="Times New Roman CE"/>
                <w:b/>
                <w:bCs/>
              </w:rPr>
              <w:t>Kč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 xml:space="preserve">DPH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21%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  <w:r w:rsidRPr="00F34E7C">
              <w:rPr>
                <w:rFonts w:ascii="Times New Roman CE" w:hAnsi="Times New Roman CE" w:cs="Times New Roman CE"/>
                <w:b/>
                <w:bCs/>
              </w:rPr>
              <w:t>Kč</w:t>
            </w:r>
          </w:p>
        </w:tc>
      </w:tr>
      <w:tr w:rsidR="00F34E7C" w:rsidRPr="00F34E7C" w:rsidTr="00131EC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Celkem  včetně DPH (zaokrouhleno)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</w:rPr>
            </w:pPr>
            <w:r w:rsidRPr="00F34E7C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color w:val="FFFFFF"/>
              </w:rPr>
            </w:pPr>
            <w:r w:rsidRPr="00F34E7C">
              <w:rPr>
                <w:rFonts w:ascii="Times New Roman CE" w:hAnsi="Times New Roman CE" w:cs="Times New Roman CE"/>
                <w:color w:val="FFFFFF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E7C" w:rsidRPr="00F34E7C" w:rsidRDefault="00F34E7C" w:rsidP="00F34E7C">
            <w:pPr>
              <w:rPr>
                <w:rFonts w:ascii="Times New Roman CE" w:hAnsi="Times New Roman CE" w:cs="Times New Roman CE"/>
                <w:b/>
                <w:bCs/>
              </w:rPr>
            </w:pPr>
            <w:r w:rsidRPr="00F34E7C">
              <w:rPr>
                <w:rFonts w:ascii="Times New Roman CE" w:hAnsi="Times New Roman CE" w:cs="Times New Roman CE"/>
                <w:b/>
                <w:bCs/>
              </w:rPr>
              <w:t>Kč</w:t>
            </w:r>
          </w:p>
        </w:tc>
      </w:tr>
    </w:tbl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34E7C" w:rsidRPr="00F34E7C" w:rsidRDefault="00F34E7C" w:rsidP="00F34E7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"/>
        <w:gridCol w:w="3636"/>
        <w:gridCol w:w="1642"/>
        <w:gridCol w:w="499"/>
        <w:gridCol w:w="1287"/>
        <w:gridCol w:w="1528"/>
      </w:tblGrid>
      <w:tr w:rsidR="00F34E7C" w:rsidRPr="00F34E7C" w:rsidTr="00131EC7">
        <w:trPr>
          <w:trHeight w:val="495"/>
        </w:trPr>
        <w:tc>
          <w:tcPr>
            <w:tcW w:w="577" w:type="dxa"/>
            <w:hideMark/>
          </w:tcPr>
          <w:p w:rsidR="00F34E7C" w:rsidRPr="00F34E7C" w:rsidRDefault="00F34E7C" w:rsidP="00F34E7C">
            <w:pPr>
              <w:rPr>
                <w:i/>
                <w:iCs/>
              </w:rPr>
            </w:pPr>
            <w:r w:rsidRPr="00F34E7C">
              <w:rPr>
                <w:i/>
                <w:iCs/>
              </w:rPr>
              <w:lastRenderedPageBreak/>
              <w:t>Pol.</w:t>
            </w:r>
          </w:p>
        </w:tc>
        <w:tc>
          <w:tcPr>
            <w:tcW w:w="5535" w:type="dxa"/>
            <w:hideMark/>
          </w:tcPr>
          <w:p w:rsidR="00F34E7C" w:rsidRPr="00F34E7C" w:rsidRDefault="00F34E7C" w:rsidP="00F34E7C">
            <w:pPr>
              <w:rPr>
                <w:i/>
                <w:iCs/>
              </w:rPr>
            </w:pPr>
            <w:r w:rsidRPr="00F34E7C">
              <w:rPr>
                <w:i/>
                <w:iCs/>
              </w:rPr>
              <w:t>Předmět dodávky:  slaboproudé technologie</w:t>
            </w:r>
          </w:p>
        </w:tc>
        <w:tc>
          <w:tcPr>
            <w:tcW w:w="2434" w:type="dxa"/>
            <w:hideMark/>
          </w:tcPr>
          <w:p w:rsidR="00F34E7C" w:rsidRPr="00F34E7C" w:rsidRDefault="00F34E7C" w:rsidP="00F34E7C">
            <w:pPr>
              <w:rPr>
                <w:i/>
                <w:iCs/>
              </w:rPr>
            </w:pPr>
            <w:r w:rsidRPr="00F34E7C">
              <w:rPr>
                <w:i/>
                <w:iCs/>
              </w:rPr>
              <w:t xml:space="preserve">Typ. </w:t>
            </w:r>
            <w:proofErr w:type="gramStart"/>
            <w:r w:rsidRPr="00F34E7C">
              <w:rPr>
                <w:i/>
                <w:iCs/>
              </w:rPr>
              <w:t>označení</w:t>
            </w:r>
            <w:proofErr w:type="gramEnd"/>
            <w:r w:rsidRPr="00F34E7C">
              <w:rPr>
                <w:i/>
                <w:iCs/>
              </w:rPr>
              <w:t>:</w:t>
            </w:r>
          </w:p>
        </w:tc>
        <w:tc>
          <w:tcPr>
            <w:tcW w:w="616" w:type="dxa"/>
            <w:hideMark/>
          </w:tcPr>
          <w:p w:rsidR="00F34E7C" w:rsidRPr="00F34E7C" w:rsidRDefault="00F34E7C" w:rsidP="00F34E7C">
            <w:pPr>
              <w:rPr>
                <w:i/>
                <w:iCs/>
              </w:rPr>
            </w:pPr>
            <w:r w:rsidRPr="00F34E7C">
              <w:rPr>
                <w:i/>
                <w:iCs/>
              </w:rPr>
              <w:t>ks/m</w:t>
            </w:r>
          </w:p>
        </w:tc>
        <w:tc>
          <w:tcPr>
            <w:tcW w:w="1881" w:type="dxa"/>
            <w:hideMark/>
          </w:tcPr>
          <w:p w:rsidR="00F34E7C" w:rsidRPr="00F34E7C" w:rsidRDefault="00F34E7C" w:rsidP="00F34E7C">
            <w:pPr>
              <w:rPr>
                <w:i/>
                <w:iCs/>
              </w:rPr>
            </w:pPr>
            <w:r w:rsidRPr="00F34E7C">
              <w:rPr>
                <w:i/>
                <w:iCs/>
              </w:rPr>
              <w:t xml:space="preserve"> Cena za jednotku Kč: </w:t>
            </w:r>
          </w:p>
        </w:tc>
        <w:tc>
          <w:tcPr>
            <w:tcW w:w="2257" w:type="dxa"/>
            <w:hideMark/>
          </w:tcPr>
          <w:p w:rsidR="00F34E7C" w:rsidRPr="00F34E7C" w:rsidRDefault="00F34E7C" w:rsidP="00F34E7C">
            <w:pPr>
              <w:rPr>
                <w:i/>
                <w:iCs/>
              </w:rPr>
            </w:pPr>
            <w:r w:rsidRPr="00F34E7C">
              <w:rPr>
                <w:i/>
                <w:iCs/>
              </w:rPr>
              <w:t xml:space="preserve"> Cena celkem                                    bez DPH Kč: </w:t>
            </w:r>
          </w:p>
        </w:tc>
      </w:tr>
      <w:tr w:rsidR="00F34E7C" w:rsidRPr="00F34E7C" w:rsidTr="00131EC7">
        <w:trPr>
          <w:trHeight w:val="255"/>
        </w:trPr>
        <w:tc>
          <w:tcPr>
            <w:tcW w:w="577" w:type="dxa"/>
            <w:hideMark/>
          </w:tcPr>
          <w:p w:rsidR="00F34E7C" w:rsidRPr="00F34E7C" w:rsidRDefault="00F34E7C" w:rsidP="00F34E7C">
            <w:pPr>
              <w:rPr>
                <w:i/>
                <w:iCs/>
              </w:rPr>
            </w:pPr>
          </w:p>
        </w:tc>
        <w:tc>
          <w:tcPr>
            <w:tcW w:w="5535" w:type="dxa"/>
            <w:hideMark/>
          </w:tcPr>
          <w:p w:rsidR="00F34E7C" w:rsidRPr="00F34E7C" w:rsidRDefault="00F34E7C" w:rsidP="00F34E7C"/>
        </w:tc>
        <w:tc>
          <w:tcPr>
            <w:tcW w:w="2434" w:type="dxa"/>
            <w:hideMark/>
          </w:tcPr>
          <w:p w:rsidR="00F34E7C" w:rsidRPr="00F34E7C" w:rsidRDefault="00F34E7C" w:rsidP="00F34E7C"/>
        </w:tc>
        <w:tc>
          <w:tcPr>
            <w:tcW w:w="616" w:type="dxa"/>
            <w:hideMark/>
          </w:tcPr>
          <w:p w:rsidR="00F34E7C" w:rsidRPr="00F34E7C" w:rsidRDefault="00F34E7C" w:rsidP="00F34E7C"/>
        </w:tc>
        <w:tc>
          <w:tcPr>
            <w:tcW w:w="1881" w:type="dxa"/>
            <w:hideMark/>
          </w:tcPr>
          <w:p w:rsidR="00F34E7C" w:rsidRPr="00F34E7C" w:rsidRDefault="00F34E7C" w:rsidP="00F34E7C"/>
        </w:tc>
        <w:tc>
          <w:tcPr>
            <w:tcW w:w="2257" w:type="dxa"/>
            <w:hideMark/>
          </w:tcPr>
          <w:p w:rsidR="00F34E7C" w:rsidRPr="00F34E7C" w:rsidRDefault="00F34E7C" w:rsidP="00F34E7C"/>
        </w:tc>
      </w:tr>
      <w:tr w:rsidR="00F34E7C" w:rsidRPr="00F34E7C" w:rsidTr="00131EC7">
        <w:trPr>
          <w:trHeight w:val="270"/>
        </w:trPr>
        <w:tc>
          <w:tcPr>
            <w:tcW w:w="13300" w:type="dxa"/>
            <w:gridSpan w:val="6"/>
            <w:noWrap/>
            <w:hideMark/>
          </w:tcPr>
          <w:p w:rsidR="00F34E7C" w:rsidRPr="00F34E7C" w:rsidRDefault="00F34E7C" w:rsidP="00F34E7C">
            <w:pPr>
              <w:rPr>
                <w:b/>
                <w:bCs/>
                <w:i/>
                <w:iCs/>
              </w:rPr>
            </w:pPr>
            <w:r w:rsidRPr="00F34E7C">
              <w:rPr>
                <w:b/>
                <w:bCs/>
                <w:i/>
                <w:iCs/>
              </w:rPr>
              <w:t>Dodávka technologie</w:t>
            </w:r>
          </w:p>
        </w:tc>
      </w:tr>
      <w:tr w:rsidR="00F34E7C" w:rsidRPr="00F34E7C" w:rsidTr="00131EC7">
        <w:trPr>
          <w:trHeight w:val="1275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r w:rsidRPr="00F34E7C">
              <w:t>1</w:t>
            </w:r>
          </w:p>
        </w:tc>
        <w:tc>
          <w:tcPr>
            <w:tcW w:w="5535" w:type="dxa"/>
            <w:hideMark/>
          </w:tcPr>
          <w:p w:rsidR="00F34E7C" w:rsidRPr="00F34E7C" w:rsidRDefault="00F34E7C" w:rsidP="00F34E7C">
            <w:r w:rsidRPr="00F34E7C">
              <w:t xml:space="preserve">Licence 3D VMD pro jednu kameru - detektoru respektující 3D perspektivu, vhodné pro náročné venkovní aplikace, měřící cykly 40ms až 10s, 128 </w:t>
            </w:r>
            <w:proofErr w:type="spellStart"/>
            <w:r w:rsidRPr="00F34E7C">
              <w:t>det</w:t>
            </w:r>
            <w:proofErr w:type="spellEnd"/>
            <w:r w:rsidRPr="00F34E7C">
              <w:t xml:space="preserve">. zón, potlačení globálních změn, detekce směru a rychlosti (pro jednotky řady </w:t>
            </w:r>
            <w:proofErr w:type="spellStart"/>
            <w:r w:rsidRPr="00F34E7C">
              <w:t>re_porter_sensor</w:t>
            </w:r>
            <w:proofErr w:type="spellEnd"/>
            <w:r w:rsidRPr="00F34E7C">
              <w:t xml:space="preserve">+, </w:t>
            </w:r>
            <w:proofErr w:type="spellStart"/>
            <w:r w:rsidRPr="00F34E7C">
              <w:t>GeViScope</w:t>
            </w:r>
            <w:proofErr w:type="spellEnd"/>
            <w:r w:rsidRPr="00F34E7C">
              <w:t xml:space="preserve">+ a </w:t>
            </w:r>
            <w:proofErr w:type="spellStart"/>
            <w:r w:rsidRPr="00F34E7C">
              <w:t>GeViStore</w:t>
            </w:r>
            <w:proofErr w:type="spellEnd"/>
            <w:r w:rsidRPr="00F34E7C">
              <w:t>).</w:t>
            </w:r>
          </w:p>
        </w:tc>
        <w:tc>
          <w:tcPr>
            <w:tcW w:w="2434" w:type="dxa"/>
            <w:hideMark/>
          </w:tcPr>
          <w:p w:rsidR="00F34E7C" w:rsidRPr="00F34E7C" w:rsidRDefault="00F34E7C" w:rsidP="00F34E7C">
            <w:r w:rsidRPr="00F34E7C">
              <w:t>G-</w:t>
            </w:r>
            <w:proofErr w:type="spellStart"/>
            <w:r w:rsidRPr="00F34E7C">
              <w:t>Tect</w:t>
            </w:r>
            <w:proofErr w:type="spellEnd"/>
            <w:r w:rsidRPr="00F34E7C">
              <w:t>/VMD</w:t>
            </w:r>
          </w:p>
        </w:tc>
        <w:tc>
          <w:tcPr>
            <w:tcW w:w="616" w:type="dxa"/>
            <w:noWrap/>
            <w:hideMark/>
          </w:tcPr>
          <w:p w:rsidR="00F34E7C" w:rsidRPr="00F34E7C" w:rsidRDefault="00F34E7C" w:rsidP="00F34E7C">
            <w:r w:rsidRPr="00F34E7C">
              <w:t>1</w:t>
            </w:r>
          </w:p>
        </w:tc>
        <w:tc>
          <w:tcPr>
            <w:tcW w:w="1881" w:type="dxa"/>
            <w:noWrap/>
            <w:hideMark/>
          </w:tcPr>
          <w:p w:rsidR="00F34E7C" w:rsidRPr="00F34E7C" w:rsidRDefault="00F34E7C" w:rsidP="00F34E7C">
            <w:r w:rsidRPr="00F34E7C">
              <w:t>0,00 Kč</w:t>
            </w:r>
          </w:p>
        </w:tc>
        <w:tc>
          <w:tcPr>
            <w:tcW w:w="2257" w:type="dxa"/>
            <w:noWrap/>
            <w:hideMark/>
          </w:tcPr>
          <w:p w:rsidR="00F34E7C" w:rsidRPr="00F34E7C" w:rsidRDefault="00F34E7C" w:rsidP="00F34E7C">
            <w:r w:rsidRPr="00F34E7C">
              <w:t xml:space="preserve">                                     -   Kč </w:t>
            </w:r>
          </w:p>
        </w:tc>
      </w:tr>
      <w:tr w:rsidR="00F34E7C" w:rsidRPr="00F34E7C" w:rsidTr="00131EC7">
        <w:trPr>
          <w:trHeight w:val="1785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r w:rsidRPr="00F34E7C">
              <w:t>2</w:t>
            </w:r>
          </w:p>
        </w:tc>
        <w:tc>
          <w:tcPr>
            <w:tcW w:w="5535" w:type="dxa"/>
            <w:hideMark/>
          </w:tcPr>
          <w:p w:rsidR="00F34E7C" w:rsidRPr="00F34E7C" w:rsidRDefault="00F34E7C" w:rsidP="00F34E7C">
            <w:r w:rsidRPr="00F34E7C">
              <w:t>Licence G-</w:t>
            </w:r>
            <w:proofErr w:type="spellStart"/>
            <w:r w:rsidRPr="00F34E7C">
              <w:t>Tect</w:t>
            </w:r>
            <w:proofErr w:type="spellEnd"/>
            <w:r w:rsidRPr="00F34E7C">
              <w:t xml:space="preserve">/VMX pro jednu kameru - detektor kombinující 3D VMD detektor a rozpoznání objektu (člověk), součástí licence VMD detektor, </w:t>
            </w:r>
            <w:proofErr w:type="spellStart"/>
            <w:r w:rsidRPr="00F34E7C">
              <w:t>DualSensor</w:t>
            </w:r>
            <w:proofErr w:type="spellEnd"/>
            <w:r w:rsidRPr="00F34E7C">
              <w:t xml:space="preserve">, </w:t>
            </w:r>
            <w:proofErr w:type="spellStart"/>
            <w:r w:rsidRPr="00F34E7C">
              <w:t>prefilter</w:t>
            </w:r>
            <w:proofErr w:type="spellEnd"/>
            <w:r w:rsidRPr="00F34E7C">
              <w:t xml:space="preserve">, validace scény a rozpoznání objektu. Detektor vhodný do venkovních prostor pro zabezpečení perimetrů, vysoká odolnost vůči vlivu počasí, pohybu objektů ve větru, pavučinám apod. (pro jednotky řady </w:t>
            </w:r>
            <w:proofErr w:type="spellStart"/>
            <w:r w:rsidRPr="00F34E7C">
              <w:t>re_porter_sensor</w:t>
            </w:r>
            <w:proofErr w:type="spellEnd"/>
            <w:r w:rsidRPr="00F34E7C">
              <w:t xml:space="preserve">+, </w:t>
            </w:r>
            <w:proofErr w:type="spellStart"/>
            <w:r w:rsidRPr="00F34E7C">
              <w:t>GeViScope</w:t>
            </w:r>
            <w:proofErr w:type="spellEnd"/>
            <w:r w:rsidRPr="00F34E7C">
              <w:t xml:space="preserve">+ a </w:t>
            </w:r>
            <w:proofErr w:type="spellStart"/>
            <w:r w:rsidRPr="00F34E7C">
              <w:t>GeViStore</w:t>
            </w:r>
            <w:proofErr w:type="spellEnd"/>
            <w:r w:rsidRPr="00F34E7C">
              <w:t>).</w:t>
            </w:r>
          </w:p>
        </w:tc>
        <w:tc>
          <w:tcPr>
            <w:tcW w:w="2434" w:type="dxa"/>
            <w:hideMark/>
          </w:tcPr>
          <w:p w:rsidR="00F34E7C" w:rsidRPr="00F34E7C" w:rsidRDefault="00F34E7C" w:rsidP="00F34E7C">
            <w:r w:rsidRPr="00F34E7C">
              <w:t>G-</w:t>
            </w:r>
            <w:proofErr w:type="spellStart"/>
            <w:r w:rsidRPr="00F34E7C">
              <w:t>Tect</w:t>
            </w:r>
            <w:proofErr w:type="spellEnd"/>
            <w:r w:rsidRPr="00F34E7C">
              <w:t>/VMD</w:t>
            </w:r>
          </w:p>
        </w:tc>
        <w:tc>
          <w:tcPr>
            <w:tcW w:w="616" w:type="dxa"/>
            <w:noWrap/>
            <w:hideMark/>
          </w:tcPr>
          <w:p w:rsidR="00F34E7C" w:rsidRPr="00F34E7C" w:rsidRDefault="00F34E7C" w:rsidP="00F34E7C">
            <w:r w:rsidRPr="00F34E7C">
              <w:t>10</w:t>
            </w:r>
          </w:p>
        </w:tc>
        <w:tc>
          <w:tcPr>
            <w:tcW w:w="1881" w:type="dxa"/>
            <w:noWrap/>
            <w:hideMark/>
          </w:tcPr>
          <w:p w:rsidR="00F34E7C" w:rsidRPr="00F34E7C" w:rsidRDefault="00F34E7C" w:rsidP="00F34E7C">
            <w:r w:rsidRPr="00F34E7C">
              <w:t>0,00 Kč</w:t>
            </w:r>
          </w:p>
        </w:tc>
        <w:tc>
          <w:tcPr>
            <w:tcW w:w="2257" w:type="dxa"/>
            <w:noWrap/>
            <w:hideMark/>
          </w:tcPr>
          <w:p w:rsidR="00F34E7C" w:rsidRPr="00F34E7C" w:rsidRDefault="00F34E7C" w:rsidP="00F34E7C">
            <w:r w:rsidRPr="00F34E7C">
              <w:t xml:space="preserve">                                     -   Kč </w:t>
            </w:r>
          </w:p>
        </w:tc>
      </w:tr>
      <w:tr w:rsidR="00F34E7C" w:rsidRPr="00F34E7C" w:rsidTr="00131EC7">
        <w:trPr>
          <w:trHeight w:val="255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r w:rsidRPr="00F34E7C">
              <w:t>3</w:t>
            </w:r>
          </w:p>
        </w:tc>
        <w:tc>
          <w:tcPr>
            <w:tcW w:w="5535" w:type="dxa"/>
            <w:noWrap/>
            <w:hideMark/>
          </w:tcPr>
          <w:p w:rsidR="00F34E7C" w:rsidRPr="00F34E7C" w:rsidRDefault="00F34E7C" w:rsidP="00F34E7C">
            <w:r w:rsidRPr="00F34E7C">
              <w:t xml:space="preserve">Instalační materiál </w:t>
            </w:r>
          </w:p>
        </w:tc>
        <w:tc>
          <w:tcPr>
            <w:tcW w:w="2434" w:type="dxa"/>
            <w:noWrap/>
            <w:hideMark/>
          </w:tcPr>
          <w:p w:rsidR="00F34E7C" w:rsidRPr="00F34E7C" w:rsidRDefault="00F34E7C" w:rsidP="00F34E7C"/>
        </w:tc>
        <w:tc>
          <w:tcPr>
            <w:tcW w:w="616" w:type="dxa"/>
            <w:noWrap/>
            <w:hideMark/>
          </w:tcPr>
          <w:p w:rsidR="00F34E7C" w:rsidRPr="00F34E7C" w:rsidRDefault="00F34E7C" w:rsidP="00F34E7C">
            <w:r w:rsidRPr="00F34E7C">
              <w:t>1</w:t>
            </w:r>
          </w:p>
        </w:tc>
        <w:tc>
          <w:tcPr>
            <w:tcW w:w="1881" w:type="dxa"/>
            <w:noWrap/>
            <w:hideMark/>
          </w:tcPr>
          <w:p w:rsidR="00F34E7C" w:rsidRPr="00F34E7C" w:rsidRDefault="00F34E7C" w:rsidP="00F34E7C">
            <w:r w:rsidRPr="00F34E7C">
              <w:t>0,00 Kč</w:t>
            </w:r>
          </w:p>
        </w:tc>
        <w:tc>
          <w:tcPr>
            <w:tcW w:w="2257" w:type="dxa"/>
            <w:noWrap/>
            <w:hideMark/>
          </w:tcPr>
          <w:p w:rsidR="00F34E7C" w:rsidRPr="00F34E7C" w:rsidRDefault="00F34E7C" w:rsidP="00F34E7C">
            <w:r w:rsidRPr="00F34E7C">
              <w:t xml:space="preserve">                                     -   Kč </w:t>
            </w:r>
          </w:p>
        </w:tc>
      </w:tr>
      <w:tr w:rsidR="00F34E7C" w:rsidRPr="00F34E7C" w:rsidTr="00131EC7">
        <w:trPr>
          <w:trHeight w:val="255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 </w:t>
            </w:r>
          </w:p>
        </w:tc>
        <w:tc>
          <w:tcPr>
            <w:tcW w:w="5535" w:type="dxa"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celkem</w:t>
            </w:r>
          </w:p>
        </w:tc>
        <w:tc>
          <w:tcPr>
            <w:tcW w:w="2434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 </w:t>
            </w:r>
          </w:p>
        </w:tc>
        <w:tc>
          <w:tcPr>
            <w:tcW w:w="1881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 </w:t>
            </w:r>
          </w:p>
        </w:tc>
        <w:tc>
          <w:tcPr>
            <w:tcW w:w="2257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 xml:space="preserve">                                   -   Kč </w:t>
            </w:r>
          </w:p>
        </w:tc>
      </w:tr>
      <w:tr w:rsidR="00F34E7C" w:rsidRPr="00F34E7C" w:rsidTr="00131EC7">
        <w:trPr>
          <w:trHeight w:val="255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</w:p>
        </w:tc>
        <w:tc>
          <w:tcPr>
            <w:tcW w:w="5535" w:type="dxa"/>
            <w:hideMark/>
          </w:tcPr>
          <w:p w:rsidR="00F34E7C" w:rsidRPr="00F34E7C" w:rsidRDefault="00F34E7C" w:rsidP="00F34E7C"/>
        </w:tc>
        <w:tc>
          <w:tcPr>
            <w:tcW w:w="2434" w:type="dxa"/>
            <w:noWrap/>
            <w:hideMark/>
          </w:tcPr>
          <w:p w:rsidR="00F34E7C" w:rsidRPr="00F34E7C" w:rsidRDefault="00F34E7C" w:rsidP="00F34E7C"/>
        </w:tc>
        <w:tc>
          <w:tcPr>
            <w:tcW w:w="616" w:type="dxa"/>
            <w:noWrap/>
            <w:hideMark/>
          </w:tcPr>
          <w:p w:rsidR="00F34E7C" w:rsidRPr="00F34E7C" w:rsidRDefault="00F34E7C" w:rsidP="00F34E7C"/>
        </w:tc>
        <w:tc>
          <w:tcPr>
            <w:tcW w:w="1881" w:type="dxa"/>
            <w:noWrap/>
            <w:hideMark/>
          </w:tcPr>
          <w:p w:rsidR="00F34E7C" w:rsidRPr="00F34E7C" w:rsidRDefault="00F34E7C" w:rsidP="00F34E7C"/>
        </w:tc>
        <w:tc>
          <w:tcPr>
            <w:tcW w:w="2257" w:type="dxa"/>
            <w:noWrap/>
            <w:hideMark/>
          </w:tcPr>
          <w:p w:rsidR="00F34E7C" w:rsidRPr="00F34E7C" w:rsidRDefault="00F34E7C" w:rsidP="00F34E7C"/>
        </w:tc>
      </w:tr>
      <w:tr w:rsidR="00F34E7C" w:rsidRPr="00F34E7C" w:rsidTr="00131EC7">
        <w:trPr>
          <w:trHeight w:val="255"/>
        </w:trPr>
        <w:tc>
          <w:tcPr>
            <w:tcW w:w="577" w:type="dxa"/>
            <w:noWrap/>
            <w:hideMark/>
          </w:tcPr>
          <w:p w:rsidR="00F34E7C" w:rsidRPr="00F34E7C" w:rsidRDefault="00F34E7C" w:rsidP="00F34E7C"/>
        </w:tc>
        <w:tc>
          <w:tcPr>
            <w:tcW w:w="5535" w:type="dxa"/>
            <w:noWrap/>
            <w:hideMark/>
          </w:tcPr>
          <w:p w:rsidR="00F34E7C" w:rsidRPr="00F34E7C" w:rsidRDefault="00F34E7C" w:rsidP="00F34E7C"/>
        </w:tc>
        <w:tc>
          <w:tcPr>
            <w:tcW w:w="2434" w:type="dxa"/>
            <w:noWrap/>
            <w:hideMark/>
          </w:tcPr>
          <w:p w:rsidR="00F34E7C" w:rsidRPr="00F34E7C" w:rsidRDefault="00F34E7C" w:rsidP="00F34E7C"/>
        </w:tc>
        <w:tc>
          <w:tcPr>
            <w:tcW w:w="616" w:type="dxa"/>
            <w:noWrap/>
            <w:hideMark/>
          </w:tcPr>
          <w:p w:rsidR="00F34E7C" w:rsidRPr="00F34E7C" w:rsidRDefault="00F34E7C" w:rsidP="00F34E7C"/>
        </w:tc>
        <w:tc>
          <w:tcPr>
            <w:tcW w:w="1881" w:type="dxa"/>
            <w:noWrap/>
            <w:hideMark/>
          </w:tcPr>
          <w:p w:rsidR="00F34E7C" w:rsidRPr="00F34E7C" w:rsidRDefault="00F34E7C" w:rsidP="00F34E7C"/>
        </w:tc>
        <w:tc>
          <w:tcPr>
            <w:tcW w:w="2257" w:type="dxa"/>
            <w:noWrap/>
            <w:hideMark/>
          </w:tcPr>
          <w:p w:rsidR="00F34E7C" w:rsidRPr="00F34E7C" w:rsidRDefault="00F34E7C" w:rsidP="00F34E7C"/>
        </w:tc>
      </w:tr>
      <w:tr w:rsidR="00F34E7C" w:rsidRPr="00F34E7C" w:rsidTr="00131EC7">
        <w:trPr>
          <w:trHeight w:val="270"/>
        </w:trPr>
        <w:tc>
          <w:tcPr>
            <w:tcW w:w="13300" w:type="dxa"/>
            <w:gridSpan w:val="6"/>
            <w:noWrap/>
            <w:hideMark/>
          </w:tcPr>
          <w:p w:rsidR="00F34E7C" w:rsidRPr="00F34E7C" w:rsidRDefault="00F34E7C" w:rsidP="00F34E7C">
            <w:pPr>
              <w:rPr>
                <w:b/>
                <w:bCs/>
                <w:i/>
                <w:iCs/>
              </w:rPr>
            </w:pPr>
            <w:r w:rsidRPr="00F34E7C">
              <w:rPr>
                <w:b/>
                <w:bCs/>
                <w:i/>
                <w:iCs/>
              </w:rPr>
              <w:t>Montáž technologie</w:t>
            </w:r>
          </w:p>
        </w:tc>
      </w:tr>
      <w:tr w:rsidR="00F34E7C" w:rsidRPr="00F34E7C" w:rsidTr="00131EC7">
        <w:trPr>
          <w:trHeight w:val="1275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r w:rsidRPr="00F34E7C">
              <w:t>1</w:t>
            </w:r>
          </w:p>
        </w:tc>
        <w:tc>
          <w:tcPr>
            <w:tcW w:w="5535" w:type="dxa"/>
            <w:hideMark/>
          </w:tcPr>
          <w:p w:rsidR="00F34E7C" w:rsidRPr="00F34E7C" w:rsidRDefault="00F34E7C" w:rsidP="00F34E7C">
            <w:r w:rsidRPr="00F34E7C">
              <w:t xml:space="preserve">Licence 3D VMD pro jednu kameru - detektoru respektující 3D perspektivu, vhodné pro náročné venkovní aplikace, měřící cykly 40ms až 10s, 128 </w:t>
            </w:r>
            <w:proofErr w:type="spellStart"/>
            <w:r w:rsidRPr="00F34E7C">
              <w:t>det</w:t>
            </w:r>
            <w:proofErr w:type="spellEnd"/>
            <w:r w:rsidRPr="00F34E7C">
              <w:t xml:space="preserve">. zón, potlačení globálních změn, detekce směru a rychlosti (pro jednotky řady </w:t>
            </w:r>
            <w:proofErr w:type="spellStart"/>
            <w:r w:rsidRPr="00F34E7C">
              <w:t>re_porter_sensor</w:t>
            </w:r>
            <w:proofErr w:type="spellEnd"/>
            <w:r w:rsidRPr="00F34E7C">
              <w:t xml:space="preserve">+, </w:t>
            </w:r>
            <w:proofErr w:type="spellStart"/>
            <w:r w:rsidRPr="00F34E7C">
              <w:t>GeViScope</w:t>
            </w:r>
            <w:proofErr w:type="spellEnd"/>
            <w:r w:rsidRPr="00F34E7C">
              <w:t xml:space="preserve">+ a </w:t>
            </w:r>
            <w:proofErr w:type="spellStart"/>
            <w:r w:rsidRPr="00F34E7C">
              <w:t>GeViStore</w:t>
            </w:r>
            <w:proofErr w:type="spellEnd"/>
            <w:r w:rsidRPr="00F34E7C">
              <w:t>).</w:t>
            </w:r>
          </w:p>
        </w:tc>
        <w:tc>
          <w:tcPr>
            <w:tcW w:w="2434" w:type="dxa"/>
            <w:hideMark/>
          </w:tcPr>
          <w:p w:rsidR="00F34E7C" w:rsidRPr="00F34E7C" w:rsidRDefault="00F34E7C" w:rsidP="00F34E7C">
            <w:r w:rsidRPr="00F34E7C">
              <w:t>G-</w:t>
            </w:r>
            <w:proofErr w:type="spellStart"/>
            <w:r w:rsidRPr="00F34E7C">
              <w:t>Tect</w:t>
            </w:r>
            <w:proofErr w:type="spellEnd"/>
            <w:r w:rsidRPr="00F34E7C">
              <w:t>/VMD</w:t>
            </w:r>
          </w:p>
        </w:tc>
        <w:tc>
          <w:tcPr>
            <w:tcW w:w="616" w:type="dxa"/>
            <w:noWrap/>
            <w:hideMark/>
          </w:tcPr>
          <w:p w:rsidR="00F34E7C" w:rsidRPr="00F34E7C" w:rsidRDefault="00F34E7C" w:rsidP="00F34E7C">
            <w:r w:rsidRPr="00F34E7C">
              <w:t>1</w:t>
            </w:r>
          </w:p>
        </w:tc>
        <w:tc>
          <w:tcPr>
            <w:tcW w:w="1881" w:type="dxa"/>
            <w:noWrap/>
            <w:hideMark/>
          </w:tcPr>
          <w:p w:rsidR="00F34E7C" w:rsidRPr="00F34E7C" w:rsidRDefault="00F34E7C" w:rsidP="00F34E7C">
            <w:r w:rsidRPr="00F34E7C">
              <w:t>0,00 Kč</w:t>
            </w:r>
          </w:p>
        </w:tc>
        <w:tc>
          <w:tcPr>
            <w:tcW w:w="2257" w:type="dxa"/>
            <w:noWrap/>
            <w:hideMark/>
          </w:tcPr>
          <w:p w:rsidR="00F34E7C" w:rsidRPr="00F34E7C" w:rsidRDefault="00F34E7C" w:rsidP="00F34E7C">
            <w:r w:rsidRPr="00F34E7C">
              <w:t xml:space="preserve">                                     -   Kč </w:t>
            </w:r>
          </w:p>
        </w:tc>
      </w:tr>
      <w:tr w:rsidR="00F34E7C" w:rsidRPr="00F34E7C" w:rsidTr="00131EC7">
        <w:trPr>
          <w:trHeight w:val="1785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r w:rsidRPr="00F34E7C">
              <w:lastRenderedPageBreak/>
              <w:t>2</w:t>
            </w:r>
          </w:p>
        </w:tc>
        <w:tc>
          <w:tcPr>
            <w:tcW w:w="5535" w:type="dxa"/>
            <w:hideMark/>
          </w:tcPr>
          <w:p w:rsidR="00F34E7C" w:rsidRPr="00F34E7C" w:rsidRDefault="00F34E7C" w:rsidP="00F34E7C">
            <w:r w:rsidRPr="00F34E7C">
              <w:t>Licence G-</w:t>
            </w:r>
            <w:proofErr w:type="spellStart"/>
            <w:r w:rsidRPr="00F34E7C">
              <w:t>Tect</w:t>
            </w:r>
            <w:proofErr w:type="spellEnd"/>
            <w:r w:rsidRPr="00F34E7C">
              <w:t xml:space="preserve">/VMX pro jednu kameru - detektor kombinující 3D VMD detektor a rozpoznání objektu (člověk), součástí licence VMD detektor, </w:t>
            </w:r>
            <w:proofErr w:type="spellStart"/>
            <w:r w:rsidRPr="00F34E7C">
              <w:t>DualSensor</w:t>
            </w:r>
            <w:proofErr w:type="spellEnd"/>
            <w:r w:rsidRPr="00F34E7C">
              <w:t xml:space="preserve">, </w:t>
            </w:r>
            <w:proofErr w:type="spellStart"/>
            <w:r w:rsidRPr="00F34E7C">
              <w:t>prefilter</w:t>
            </w:r>
            <w:proofErr w:type="spellEnd"/>
            <w:r w:rsidRPr="00F34E7C">
              <w:t xml:space="preserve">, validace scény a rozpoznání objektu. Detektor vhodný do venkovních prostor pro zabezpečení perimetrů, vysoká odolnost vůči vlivu počasí, pohybu objektů ve větru, pavučinám apod. (pro jednotky řady </w:t>
            </w:r>
            <w:proofErr w:type="spellStart"/>
            <w:r w:rsidRPr="00F34E7C">
              <w:t>re_porter_sensor</w:t>
            </w:r>
            <w:proofErr w:type="spellEnd"/>
            <w:r w:rsidRPr="00F34E7C">
              <w:t xml:space="preserve">+, </w:t>
            </w:r>
            <w:proofErr w:type="spellStart"/>
            <w:r w:rsidRPr="00F34E7C">
              <w:t>GeViScope</w:t>
            </w:r>
            <w:proofErr w:type="spellEnd"/>
            <w:r w:rsidRPr="00F34E7C">
              <w:t xml:space="preserve">+ a </w:t>
            </w:r>
            <w:proofErr w:type="spellStart"/>
            <w:r w:rsidRPr="00F34E7C">
              <w:t>GeViStore</w:t>
            </w:r>
            <w:proofErr w:type="spellEnd"/>
            <w:r w:rsidRPr="00F34E7C">
              <w:t>).</w:t>
            </w:r>
          </w:p>
        </w:tc>
        <w:tc>
          <w:tcPr>
            <w:tcW w:w="2434" w:type="dxa"/>
            <w:hideMark/>
          </w:tcPr>
          <w:p w:rsidR="00F34E7C" w:rsidRPr="00F34E7C" w:rsidRDefault="00F34E7C" w:rsidP="00F34E7C">
            <w:r w:rsidRPr="00F34E7C">
              <w:t>G-</w:t>
            </w:r>
            <w:proofErr w:type="spellStart"/>
            <w:r w:rsidRPr="00F34E7C">
              <w:t>Tect</w:t>
            </w:r>
            <w:proofErr w:type="spellEnd"/>
            <w:r w:rsidRPr="00F34E7C">
              <w:t>/VMD</w:t>
            </w:r>
          </w:p>
        </w:tc>
        <w:tc>
          <w:tcPr>
            <w:tcW w:w="616" w:type="dxa"/>
            <w:noWrap/>
            <w:hideMark/>
          </w:tcPr>
          <w:p w:rsidR="00F34E7C" w:rsidRPr="00F34E7C" w:rsidRDefault="00F34E7C" w:rsidP="00F34E7C">
            <w:r w:rsidRPr="00F34E7C">
              <w:t>10</w:t>
            </w:r>
          </w:p>
        </w:tc>
        <w:tc>
          <w:tcPr>
            <w:tcW w:w="1881" w:type="dxa"/>
            <w:noWrap/>
            <w:hideMark/>
          </w:tcPr>
          <w:p w:rsidR="00F34E7C" w:rsidRPr="00F34E7C" w:rsidRDefault="00F34E7C" w:rsidP="00F34E7C">
            <w:r w:rsidRPr="00F34E7C">
              <w:t>0,00 Kč</w:t>
            </w:r>
          </w:p>
        </w:tc>
        <w:tc>
          <w:tcPr>
            <w:tcW w:w="2257" w:type="dxa"/>
            <w:noWrap/>
            <w:hideMark/>
          </w:tcPr>
          <w:p w:rsidR="00F34E7C" w:rsidRPr="00F34E7C" w:rsidRDefault="00F34E7C" w:rsidP="00F34E7C">
            <w:r w:rsidRPr="00F34E7C">
              <w:t xml:space="preserve">                                     -   Kč </w:t>
            </w:r>
          </w:p>
        </w:tc>
      </w:tr>
      <w:tr w:rsidR="00F34E7C" w:rsidRPr="00F34E7C" w:rsidTr="00131EC7">
        <w:trPr>
          <w:trHeight w:val="255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r w:rsidRPr="00F34E7C">
              <w:t>3</w:t>
            </w:r>
          </w:p>
        </w:tc>
        <w:tc>
          <w:tcPr>
            <w:tcW w:w="5535" w:type="dxa"/>
            <w:noWrap/>
            <w:hideMark/>
          </w:tcPr>
          <w:p w:rsidR="00F34E7C" w:rsidRPr="00F34E7C" w:rsidRDefault="00F34E7C" w:rsidP="00F34E7C">
            <w:r w:rsidRPr="00F34E7C">
              <w:t xml:space="preserve">Instalační materiál </w:t>
            </w:r>
          </w:p>
        </w:tc>
        <w:tc>
          <w:tcPr>
            <w:tcW w:w="2434" w:type="dxa"/>
            <w:noWrap/>
            <w:hideMark/>
          </w:tcPr>
          <w:p w:rsidR="00F34E7C" w:rsidRPr="00F34E7C" w:rsidRDefault="00F34E7C" w:rsidP="00F34E7C"/>
        </w:tc>
        <w:tc>
          <w:tcPr>
            <w:tcW w:w="616" w:type="dxa"/>
            <w:noWrap/>
            <w:hideMark/>
          </w:tcPr>
          <w:p w:rsidR="00F34E7C" w:rsidRPr="00F34E7C" w:rsidRDefault="00F34E7C" w:rsidP="00F34E7C">
            <w:r w:rsidRPr="00F34E7C">
              <w:t>1</w:t>
            </w:r>
          </w:p>
        </w:tc>
        <w:tc>
          <w:tcPr>
            <w:tcW w:w="1881" w:type="dxa"/>
            <w:noWrap/>
            <w:hideMark/>
          </w:tcPr>
          <w:p w:rsidR="00F34E7C" w:rsidRPr="00F34E7C" w:rsidRDefault="00F34E7C" w:rsidP="00F34E7C">
            <w:r w:rsidRPr="00F34E7C">
              <w:t>0,00 Kč</w:t>
            </w:r>
          </w:p>
        </w:tc>
        <w:tc>
          <w:tcPr>
            <w:tcW w:w="2257" w:type="dxa"/>
            <w:noWrap/>
            <w:hideMark/>
          </w:tcPr>
          <w:p w:rsidR="00F34E7C" w:rsidRPr="00F34E7C" w:rsidRDefault="00F34E7C" w:rsidP="00F34E7C">
            <w:r w:rsidRPr="00F34E7C">
              <w:t xml:space="preserve">                                     -   Kč </w:t>
            </w:r>
          </w:p>
        </w:tc>
      </w:tr>
      <w:tr w:rsidR="00F34E7C" w:rsidRPr="00F34E7C" w:rsidTr="00131EC7">
        <w:trPr>
          <w:trHeight w:val="255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r w:rsidRPr="00F34E7C">
              <w:t>4</w:t>
            </w:r>
          </w:p>
        </w:tc>
        <w:tc>
          <w:tcPr>
            <w:tcW w:w="5535" w:type="dxa"/>
            <w:noWrap/>
            <w:hideMark/>
          </w:tcPr>
          <w:p w:rsidR="00F34E7C" w:rsidRPr="00F34E7C" w:rsidRDefault="00F34E7C" w:rsidP="00F34E7C">
            <w:r w:rsidRPr="00F34E7C">
              <w:t xml:space="preserve">Oživení programování </w:t>
            </w:r>
          </w:p>
        </w:tc>
        <w:tc>
          <w:tcPr>
            <w:tcW w:w="2434" w:type="dxa"/>
            <w:noWrap/>
            <w:hideMark/>
          </w:tcPr>
          <w:p w:rsidR="00F34E7C" w:rsidRPr="00F34E7C" w:rsidRDefault="00F34E7C" w:rsidP="00F34E7C"/>
        </w:tc>
        <w:tc>
          <w:tcPr>
            <w:tcW w:w="616" w:type="dxa"/>
            <w:noWrap/>
            <w:hideMark/>
          </w:tcPr>
          <w:p w:rsidR="00F34E7C" w:rsidRPr="00F34E7C" w:rsidRDefault="00F34E7C" w:rsidP="00F34E7C">
            <w:r w:rsidRPr="00F34E7C">
              <w:t>11</w:t>
            </w:r>
          </w:p>
        </w:tc>
        <w:tc>
          <w:tcPr>
            <w:tcW w:w="1881" w:type="dxa"/>
            <w:noWrap/>
            <w:hideMark/>
          </w:tcPr>
          <w:p w:rsidR="00F34E7C" w:rsidRPr="00F34E7C" w:rsidRDefault="00F34E7C" w:rsidP="00F34E7C">
            <w:r w:rsidRPr="00F34E7C">
              <w:t>0,00 Kč</w:t>
            </w:r>
          </w:p>
        </w:tc>
        <w:tc>
          <w:tcPr>
            <w:tcW w:w="2257" w:type="dxa"/>
            <w:noWrap/>
            <w:hideMark/>
          </w:tcPr>
          <w:p w:rsidR="00F34E7C" w:rsidRPr="00F34E7C" w:rsidRDefault="00F34E7C" w:rsidP="00F34E7C">
            <w:r w:rsidRPr="00F34E7C">
              <w:t xml:space="preserve">                                     -   Kč </w:t>
            </w:r>
          </w:p>
        </w:tc>
      </w:tr>
      <w:tr w:rsidR="00F34E7C" w:rsidRPr="00F34E7C" w:rsidTr="00131EC7">
        <w:trPr>
          <w:trHeight w:val="330"/>
        </w:trPr>
        <w:tc>
          <w:tcPr>
            <w:tcW w:w="577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 </w:t>
            </w:r>
          </w:p>
        </w:tc>
        <w:tc>
          <w:tcPr>
            <w:tcW w:w="5535" w:type="dxa"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celkem</w:t>
            </w:r>
          </w:p>
        </w:tc>
        <w:tc>
          <w:tcPr>
            <w:tcW w:w="2434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 </w:t>
            </w:r>
          </w:p>
        </w:tc>
        <w:tc>
          <w:tcPr>
            <w:tcW w:w="1881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> </w:t>
            </w:r>
          </w:p>
        </w:tc>
        <w:tc>
          <w:tcPr>
            <w:tcW w:w="2257" w:type="dxa"/>
            <w:noWrap/>
            <w:hideMark/>
          </w:tcPr>
          <w:p w:rsidR="00F34E7C" w:rsidRPr="00F34E7C" w:rsidRDefault="00F34E7C" w:rsidP="00F34E7C">
            <w:pPr>
              <w:rPr>
                <w:b/>
                <w:bCs/>
              </w:rPr>
            </w:pPr>
            <w:r w:rsidRPr="00F34E7C">
              <w:rPr>
                <w:b/>
                <w:bCs/>
              </w:rPr>
              <w:t xml:space="preserve">                                   -   Kč </w:t>
            </w:r>
          </w:p>
        </w:tc>
      </w:tr>
    </w:tbl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Cs/>
        </w:rPr>
      </w:pPr>
      <w:r w:rsidRPr="00F34E7C">
        <w:rPr>
          <w:bCs/>
        </w:rPr>
        <w:t xml:space="preserve">                                                                                                                                    Příloha č. 2</w:t>
      </w: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sz w:val="36"/>
          <w:szCs w:val="20"/>
        </w:rPr>
      </w:pP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sz w:val="36"/>
          <w:szCs w:val="20"/>
        </w:rPr>
      </w:pPr>
    </w:p>
    <w:p w:rsidR="00F34E7C" w:rsidRPr="00F34E7C" w:rsidRDefault="00F34E7C" w:rsidP="00F34E7C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sz w:val="36"/>
          <w:szCs w:val="20"/>
        </w:rPr>
      </w:pPr>
      <w:r w:rsidRPr="00F34E7C">
        <w:rPr>
          <w:b/>
          <w:bCs/>
          <w:sz w:val="36"/>
          <w:szCs w:val="20"/>
        </w:rPr>
        <w:t>Čestné prohlášení uchazeče</w:t>
      </w:r>
    </w:p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>
      <w:pPr>
        <w:jc w:val="both"/>
      </w:pPr>
      <w:r w:rsidRPr="00F34E7C">
        <w:t xml:space="preserve">Jako uchazeč o veřejnou zakázku čestně prohlašuji, že: </w:t>
      </w:r>
    </w:p>
    <w:p w:rsidR="00F34E7C" w:rsidRPr="00F34E7C" w:rsidRDefault="00F34E7C" w:rsidP="00F34E7C">
      <w:pPr>
        <w:jc w:val="both"/>
      </w:pPr>
    </w:p>
    <w:p w:rsidR="00F34E7C" w:rsidRPr="00F34E7C" w:rsidRDefault="00F34E7C" w:rsidP="00F34E7C">
      <w:pPr>
        <w:jc w:val="both"/>
      </w:pPr>
    </w:p>
    <w:p w:rsidR="00F34E7C" w:rsidRPr="00F34E7C" w:rsidRDefault="00F34E7C" w:rsidP="00F34E7C">
      <w:pPr>
        <w:numPr>
          <w:ilvl w:val="0"/>
          <w:numId w:val="3"/>
        </w:numPr>
        <w:jc w:val="both"/>
      </w:pPr>
      <w:r w:rsidRPr="00F34E7C">
        <w:t>veškeré informace uváděné a obsažené v nabídce jsou pravdivé,</w:t>
      </w:r>
    </w:p>
    <w:p w:rsidR="00F34E7C" w:rsidRPr="00F34E7C" w:rsidRDefault="00F34E7C" w:rsidP="00F34E7C">
      <w:pPr>
        <w:ind w:left="360"/>
        <w:jc w:val="both"/>
      </w:pPr>
    </w:p>
    <w:p w:rsidR="00F34E7C" w:rsidRPr="00F34E7C" w:rsidRDefault="00F34E7C" w:rsidP="00F34E7C">
      <w:pPr>
        <w:numPr>
          <w:ilvl w:val="0"/>
          <w:numId w:val="3"/>
        </w:numPr>
        <w:jc w:val="both"/>
      </w:pPr>
      <w:proofErr w:type="gramStart"/>
      <w:r w:rsidRPr="00F34E7C">
        <w:t>jsem</w:t>
      </w:r>
      <w:proofErr w:type="gramEnd"/>
      <w:r w:rsidRPr="00F34E7C">
        <w:t xml:space="preserve"> se </w:t>
      </w:r>
      <w:proofErr w:type="gramStart"/>
      <w:r w:rsidRPr="00F34E7C">
        <w:t>seznámil</w:t>
      </w:r>
      <w:proofErr w:type="gramEnd"/>
      <w:r w:rsidRPr="00F34E7C">
        <w:t xml:space="preserve"> s podmínkami výzvy a zadávací dokumentací,</w:t>
      </w:r>
    </w:p>
    <w:p w:rsidR="00F34E7C" w:rsidRPr="00F34E7C" w:rsidRDefault="00F34E7C" w:rsidP="00F34E7C">
      <w:pPr>
        <w:jc w:val="both"/>
      </w:pPr>
    </w:p>
    <w:p w:rsidR="00F34E7C" w:rsidRPr="00F34E7C" w:rsidRDefault="00F34E7C" w:rsidP="00F34E7C">
      <w:pPr>
        <w:numPr>
          <w:ilvl w:val="0"/>
          <w:numId w:val="3"/>
        </w:numPr>
        <w:jc w:val="both"/>
      </w:pPr>
      <w:proofErr w:type="gramStart"/>
      <w:r w:rsidRPr="00F34E7C">
        <w:t>jsem</w:t>
      </w:r>
      <w:proofErr w:type="gramEnd"/>
      <w:r w:rsidRPr="00F34E7C">
        <w:t xml:space="preserve"> si před podáním nabídky </w:t>
      </w:r>
      <w:proofErr w:type="gramStart"/>
      <w:r w:rsidRPr="00F34E7C">
        <w:t>vyjasnil</w:t>
      </w:r>
      <w:proofErr w:type="gramEnd"/>
      <w:r w:rsidRPr="00F34E7C">
        <w:t xml:space="preserve"> všechna případně sporná ustanovení, technické nejasnosti a že podmínky výzvy a zadávací dokumentaci respektuji.</w:t>
      </w:r>
    </w:p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>
      <w:r w:rsidRPr="00F34E7C">
        <w:t>V ………………….. dne ……………</w:t>
      </w:r>
    </w:p>
    <w:p w:rsidR="00F34E7C" w:rsidRPr="00F34E7C" w:rsidRDefault="00F34E7C" w:rsidP="00F34E7C"/>
    <w:p w:rsidR="00F34E7C" w:rsidRPr="00F34E7C" w:rsidRDefault="00F34E7C" w:rsidP="00F34E7C">
      <w:r w:rsidRPr="00F34E7C">
        <w:tab/>
      </w:r>
    </w:p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>
      <w:r w:rsidRPr="00F34E7C">
        <w:tab/>
      </w:r>
      <w:r w:rsidRPr="00F34E7C">
        <w:tab/>
      </w:r>
      <w:r w:rsidRPr="00F34E7C">
        <w:tab/>
      </w:r>
      <w:r w:rsidRPr="00F34E7C">
        <w:tab/>
      </w:r>
      <w:r w:rsidRPr="00F34E7C">
        <w:tab/>
      </w:r>
      <w:r w:rsidRPr="00F34E7C">
        <w:tab/>
      </w:r>
      <w:r w:rsidRPr="00F34E7C">
        <w:tab/>
      </w:r>
      <w:r w:rsidRPr="00F34E7C">
        <w:tab/>
        <w:t>……………………………….</w:t>
      </w:r>
    </w:p>
    <w:p w:rsidR="00F34E7C" w:rsidRPr="00F34E7C" w:rsidRDefault="00F34E7C" w:rsidP="00F34E7C">
      <w:r w:rsidRPr="00F34E7C">
        <w:t xml:space="preserve">                       </w:t>
      </w:r>
      <w:r w:rsidRPr="00F34E7C">
        <w:tab/>
      </w:r>
      <w:r w:rsidRPr="00F34E7C">
        <w:tab/>
      </w:r>
      <w:r w:rsidRPr="00F34E7C">
        <w:tab/>
      </w:r>
      <w:r w:rsidRPr="00F34E7C">
        <w:tab/>
      </w:r>
      <w:r w:rsidRPr="00F34E7C">
        <w:tab/>
      </w:r>
      <w:r w:rsidRPr="00F34E7C">
        <w:tab/>
      </w:r>
      <w:r w:rsidRPr="00F34E7C">
        <w:tab/>
      </w:r>
      <w:r w:rsidRPr="00F34E7C">
        <w:tab/>
        <w:t>jméno a podpis</w:t>
      </w:r>
    </w:p>
    <w:p w:rsidR="00F34E7C" w:rsidRPr="00F34E7C" w:rsidRDefault="00F34E7C" w:rsidP="00F34E7C">
      <w:pPr>
        <w:ind w:left="4254" w:firstLine="709"/>
      </w:pPr>
      <w:r w:rsidRPr="00F34E7C">
        <w:t xml:space="preserve">          uchazeče (oprávněného zástupce)</w:t>
      </w:r>
    </w:p>
    <w:p w:rsidR="00F34E7C" w:rsidRPr="00F34E7C" w:rsidRDefault="00F34E7C" w:rsidP="00F34E7C"/>
    <w:p w:rsidR="00F34E7C" w:rsidRPr="00F34E7C" w:rsidRDefault="00F34E7C" w:rsidP="00F34E7C"/>
    <w:p w:rsidR="00F34E7C" w:rsidRPr="00F34E7C" w:rsidRDefault="00F34E7C" w:rsidP="00F34E7C"/>
    <w:p w:rsidR="00FF7C23" w:rsidRDefault="00FF7C23"/>
    <w:sectPr w:rsidR="00FF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mnia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1459"/>
    <w:multiLevelType w:val="hybridMultilevel"/>
    <w:tmpl w:val="EFCE6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E05F7"/>
    <w:multiLevelType w:val="hybridMultilevel"/>
    <w:tmpl w:val="5992887E"/>
    <w:lvl w:ilvl="0" w:tplc="DAF46C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7C"/>
    <w:rsid w:val="00151D7D"/>
    <w:rsid w:val="00A201BB"/>
    <w:rsid w:val="00F34E7C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08E4B-3DDD-41E5-A927-AD4C3B56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ichalek@mpstrako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Michálek</dc:creator>
  <cp:keywords/>
  <dc:description/>
  <cp:lastModifiedBy>Richard Kozák</cp:lastModifiedBy>
  <cp:revision>2</cp:revision>
  <dcterms:created xsi:type="dcterms:W3CDTF">2020-06-26T09:07:00Z</dcterms:created>
  <dcterms:modified xsi:type="dcterms:W3CDTF">2020-06-26T09:07:00Z</dcterms:modified>
</cp:coreProperties>
</file>