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325A" w:rsidTr="0020753E">
        <w:tc>
          <w:tcPr>
            <w:tcW w:w="9062" w:type="dxa"/>
            <w:tcMar>
              <w:top w:w="85" w:type="dxa"/>
              <w:bottom w:w="85" w:type="dxa"/>
            </w:tcMar>
          </w:tcPr>
          <w:p w:rsidR="0004325A" w:rsidRDefault="0004325A" w:rsidP="0020753E">
            <w:pPr>
              <w:spacing w:line="360" w:lineRule="auto"/>
            </w:pPr>
            <w:r>
              <w:t>Při navrhování se vychází ze základního početního stavu členů jednotky SDH obce dle přílohy č. 4 vyhlášky 247/2001 Sb., pro jednotky kategorie JPO V se uvažuje s početním stavem 12 členů</w:t>
            </w:r>
          </w:p>
        </w:tc>
      </w:tr>
      <w:tr w:rsidR="0004325A" w:rsidTr="0020753E">
        <w:tc>
          <w:tcPr>
            <w:tcW w:w="9062" w:type="dxa"/>
            <w:tcMar>
              <w:top w:w="85" w:type="dxa"/>
              <w:bottom w:w="85" w:type="dxa"/>
            </w:tcMar>
          </w:tcPr>
          <w:p w:rsidR="0020753E" w:rsidRDefault="0004325A" w:rsidP="0020753E">
            <w:pPr>
              <w:spacing w:line="360" w:lineRule="auto"/>
            </w:pPr>
            <w:r>
              <w:t>Počet garážových stání požární techniky vyplývá z kategorie jednotky a přílohy č. 4 vyhlášky 247/2001 Sb. s přihlédnutím ke stávajícímu počtu techniky ve vybavení jednotky SDH obce.</w:t>
            </w:r>
          </w:p>
        </w:tc>
      </w:tr>
      <w:tr w:rsidR="0004325A" w:rsidTr="0020753E">
        <w:tc>
          <w:tcPr>
            <w:tcW w:w="9062" w:type="dxa"/>
            <w:tcMar>
              <w:top w:w="85" w:type="dxa"/>
              <w:bottom w:w="85" w:type="dxa"/>
            </w:tcMar>
          </w:tcPr>
          <w:p w:rsidR="0004325A" w:rsidRDefault="0004325A" w:rsidP="0020753E">
            <w:pPr>
              <w:spacing w:line="360" w:lineRule="auto"/>
            </w:pPr>
            <w:r w:rsidRPr="0004325A">
              <w:rPr>
                <w:b/>
                <w:u w:val="single"/>
              </w:rPr>
              <w:t>Spojovací prostory</w:t>
            </w:r>
            <w:r>
              <w:t xml:space="preserve"> např. chodby, zádveří, prostory schodiště, podesty jsou uznatelnými náklady.</w:t>
            </w:r>
          </w:p>
        </w:tc>
      </w:tr>
      <w:tr w:rsidR="0004325A" w:rsidTr="0020753E">
        <w:tc>
          <w:tcPr>
            <w:tcW w:w="9062" w:type="dxa"/>
            <w:tcMar>
              <w:top w:w="85" w:type="dxa"/>
              <w:bottom w:w="85" w:type="dxa"/>
            </w:tcMar>
          </w:tcPr>
          <w:p w:rsidR="0004325A" w:rsidRPr="0004325A" w:rsidRDefault="0004325A" w:rsidP="0020753E">
            <w:pPr>
              <w:spacing w:line="360" w:lineRule="auto"/>
              <w:rPr>
                <w:b/>
                <w:u w:val="single"/>
              </w:rPr>
            </w:pPr>
            <w:r w:rsidRPr="0004325A">
              <w:rPr>
                <w:b/>
                <w:u w:val="single"/>
              </w:rPr>
              <w:t>Povinné prostory I:</w:t>
            </w:r>
          </w:p>
          <w:p w:rsidR="0004325A" w:rsidRDefault="0004325A" w:rsidP="0020753E">
            <w:pPr>
              <w:spacing w:line="360" w:lineRule="auto"/>
            </w:pPr>
            <w:r>
              <w:t xml:space="preserve">jedná se o prostory, které </w:t>
            </w:r>
            <w:r w:rsidRPr="0004325A">
              <w:rPr>
                <w:b/>
              </w:rPr>
              <w:t>musí</w:t>
            </w:r>
            <w:r>
              <w:t xml:space="preserve"> nová/rekonstruovaná </w:t>
            </w:r>
            <w:r w:rsidRPr="0004325A">
              <w:rPr>
                <w:b/>
              </w:rPr>
              <w:t>požární zbrojnice obsahovat</w:t>
            </w:r>
            <w:r>
              <w:t xml:space="preserve">, včetně dodržení uvedených minimálních a maximálních podlahových ploch. </w:t>
            </w:r>
            <w:r w:rsidRPr="0004325A">
              <w:rPr>
                <w:b/>
              </w:rPr>
              <w:t xml:space="preserve">U rekonstrukcí </w:t>
            </w:r>
            <w:proofErr w:type="spellStart"/>
            <w:r w:rsidRPr="0004325A">
              <w:rPr>
                <w:b/>
              </w:rPr>
              <w:t>pož</w:t>
            </w:r>
            <w:proofErr w:type="spellEnd"/>
            <w:r w:rsidRPr="0004325A">
              <w:rPr>
                <w:b/>
              </w:rPr>
              <w:t>. zbrojnic lze v odůvodněných případech krátit stanovené podlahové plochy až o 50 %</w:t>
            </w:r>
            <w:r>
              <w:t>. V případě nedodržení minimálních ploch bude žádost vyřazena pro neúčelnost. V případě překročení maximálních ploch, je na individuálním posouzení HZS kraje, zda je pro potřeby fungování jednotky SDH obce tento požadavek oprávněný, nebo jde o neuznatelný výdaj.</w:t>
            </w:r>
          </w:p>
          <w:p w:rsidR="0004325A" w:rsidRPr="0004325A" w:rsidRDefault="0004325A" w:rsidP="0020753E">
            <w:pPr>
              <w:spacing w:line="360" w:lineRule="auto"/>
              <w:rPr>
                <w:b/>
                <w:u w:val="single"/>
              </w:rPr>
            </w:pPr>
            <w:r w:rsidRPr="0004325A">
              <w:rPr>
                <w:b/>
                <w:u w:val="single"/>
              </w:rPr>
              <w:t>Uznatelné prostory II:</w:t>
            </w:r>
          </w:p>
          <w:p w:rsidR="0004325A" w:rsidRDefault="0004325A" w:rsidP="0020753E">
            <w:pPr>
              <w:spacing w:line="360" w:lineRule="auto"/>
            </w:pPr>
            <w:r>
              <w:t xml:space="preserve">jedná se o prostory, které může nová/rekonstruovaná požární zbrojnice obsahovat. V případě dodržení stanovených podlahových ploch se jedná o uznatelný výdaj, v opačném případě je na individuálním posouzení HZS kraje, zdaje pro potřeby fungování jednotky </w:t>
            </w:r>
            <w:proofErr w:type="spellStart"/>
            <w:r>
              <w:t>sDh</w:t>
            </w:r>
            <w:proofErr w:type="spellEnd"/>
            <w:r>
              <w:t xml:space="preserve"> obce tento požadavek oprávněný, nebo jde o neuznatelný výdaj.</w:t>
            </w:r>
          </w:p>
          <w:p w:rsidR="0004325A" w:rsidRDefault="0004325A" w:rsidP="0020753E">
            <w:pPr>
              <w:spacing w:line="360" w:lineRule="auto"/>
            </w:pPr>
          </w:p>
          <w:p w:rsidR="0020753E" w:rsidRPr="0020753E" w:rsidRDefault="0020753E" w:rsidP="0020753E">
            <w:pPr>
              <w:spacing w:line="360" w:lineRule="auto"/>
              <w:rPr>
                <w:b/>
                <w:u w:val="single"/>
              </w:rPr>
            </w:pPr>
            <w:r w:rsidRPr="0004325A">
              <w:rPr>
                <w:b/>
                <w:u w:val="single"/>
              </w:rPr>
              <w:t>Všechny ostatní prostory podléhají individuálnímu posouzení HZS kraje.</w:t>
            </w:r>
          </w:p>
        </w:tc>
      </w:tr>
      <w:tr w:rsidR="0004325A" w:rsidTr="0020753E">
        <w:tc>
          <w:tcPr>
            <w:tcW w:w="9062" w:type="dxa"/>
            <w:tcMar>
              <w:top w:w="85" w:type="dxa"/>
              <w:bottom w:w="85" w:type="dxa"/>
            </w:tcMar>
          </w:tcPr>
          <w:p w:rsidR="0004325A" w:rsidRDefault="0020753E" w:rsidP="0020753E">
            <w:pPr>
              <w:spacing w:line="360" w:lineRule="auto"/>
            </w:pPr>
            <w:r>
              <w:t>Pro jednotky které zabezpečují výjezd dvou družstev, se aplikuje tabulka a všechny předpisy výše uvedené s individuálním přístupem od příslušného HZS kraje.</w:t>
            </w:r>
          </w:p>
        </w:tc>
      </w:tr>
      <w:tr w:rsidR="0004325A" w:rsidTr="0020753E">
        <w:tc>
          <w:tcPr>
            <w:tcW w:w="9062" w:type="dxa"/>
            <w:tcMar>
              <w:top w:w="85" w:type="dxa"/>
              <w:bottom w:w="85" w:type="dxa"/>
            </w:tcMar>
          </w:tcPr>
          <w:p w:rsidR="0004325A" w:rsidRDefault="0004325A" w:rsidP="0020753E">
            <w:pPr>
              <w:spacing w:line="360" w:lineRule="auto"/>
            </w:pPr>
            <w:r w:rsidRPr="0004325A">
              <w:rPr>
                <w:b/>
                <w:u w:val="single"/>
              </w:rPr>
              <w:t>Spojovací prostory</w:t>
            </w:r>
            <w:r>
              <w:t xml:space="preserve"> např. chodby, zádveří, prostory schodiště, podesty jsou uznatelnými náklady.</w:t>
            </w:r>
          </w:p>
        </w:tc>
      </w:tr>
    </w:tbl>
    <w:p w:rsidR="00113278" w:rsidRPr="00113278" w:rsidRDefault="0020753E" w:rsidP="00113278">
      <w:pPr>
        <w:spacing w:before="240"/>
        <w:rPr>
          <w:i/>
        </w:rPr>
      </w:pPr>
      <w:r w:rsidRPr="0004325A">
        <w:rPr>
          <w:i/>
          <w:u w:val="single"/>
        </w:rPr>
        <w:t>Poznámka:</w:t>
      </w:r>
      <w:r w:rsidRPr="0004325A">
        <w:rPr>
          <w:i/>
        </w:rPr>
        <w:t xml:space="preserve"> </w:t>
      </w:r>
      <w:r w:rsidRPr="0004325A">
        <w:rPr>
          <w:b/>
          <w:i/>
        </w:rPr>
        <w:t>předepsané povinné prostory</w:t>
      </w:r>
      <w:r w:rsidRPr="0004325A">
        <w:rPr>
          <w:i/>
        </w:rPr>
        <w:t xml:space="preserve"> musí obsahovat </w:t>
      </w:r>
      <w:r w:rsidRPr="0004325A">
        <w:rPr>
          <w:b/>
          <w:i/>
        </w:rPr>
        <w:t>všechny zbrojnice</w:t>
      </w:r>
      <w:r w:rsidRPr="0004325A">
        <w:rPr>
          <w:i/>
        </w:rPr>
        <w:t>, které žádají o dotační titul.</w:t>
      </w:r>
    </w:p>
    <w:p w:rsidR="00113278" w:rsidRDefault="00113278" w:rsidP="0004325A"/>
    <w:p w:rsidR="00113278" w:rsidRDefault="00113278" w:rsidP="0004325A"/>
    <w:p w:rsidR="0004325A" w:rsidRDefault="00113278" w:rsidP="0004325A">
      <w:bookmarkStart w:id="0" w:name="_GoBack"/>
      <w:bookmarkEnd w:id="0"/>
      <w:r>
        <w:t>Ve Strakonicích, 11. 9. 2020</w:t>
      </w:r>
    </w:p>
    <w:p w:rsidR="00113278" w:rsidRDefault="00113278" w:rsidP="0004325A">
      <w:r>
        <w:t xml:space="preserve">Zpracoval: Ing. Peter </w:t>
      </w:r>
      <w:proofErr w:type="spellStart"/>
      <w:r>
        <w:t>kurek</w:t>
      </w:r>
      <w:proofErr w:type="spellEnd"/>
    </w:p>
    <w:p w:rsidR="00113278" w:rsidRPr="0004325A" w:rsidRDefault="00113278" w:rsidP="0004325A"/>
    <w:sectPr w:rsidR="00113278" w:rsidRPr="000432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25A"/>
    <w:rsid w:val="0004325A"/>
    <w:rsid w:val="000B6AFC"/>
    <w:rsid w:val="00113278"/>
    <w:rsid w:val="0020753E"/>
    <w:rsid w:val="00C37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CE3A1"/>
  <w15:chartTrackingRefBased/>
  <w15:docId w15:val="{D9F472CB-41F8-4618-8BBE-9A9D68529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0753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432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1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266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Kurek</dc:creator>
  <cp:keywords/>
  <dc:description/>
  <cp:lastModifiedBy>Peter Kurek</cp:lastModifiedBy>
  <cp:revision>2</cp:revision>
  <dcterms:created xsi:type="dcterms:W3CDTF">2020-09-07T06:24:00Z</dcterms:created>
  <dcterms:modified xsi:type="dcterms:W3CDTF">2020-09-11T08:35:00Z</dcterms:modified>
</cp:coreProperties>
</file>